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5885" w14:textId="1B068DE8" w:rsidR="00D0683C" w:rsidRDefault="00211BB5">
      <w:r>
        <w:rPr>
          <w:noProof/>
        </w:rPr>
        <w:drawing>
          <wp:anchor distT="0" distB="0" distL="114300" distR="114300" simplePos="0" relativeHeight="251657216" behindDoc="0" locked="0" layoutInCell="1" allowOverlap="1" wp14:anchorId="06915277" wp14:editId="70B997EF">
            <wp:simplePos x="0" y="0"/>
            <wp:positionH relativeFrom="column">
              <wp:posOffset>685800</wp:posOffset>
            </wp:positionH>
            <wp:positionV relativeFrom="paragraph">
              <wp:posOffset>28575</wp:posOffset>
            </wp:positionV>
            <wp:extent cx="5486400" cy="622300"/>
            <wp:effectExtent l="25400" t="25400" r="25400" b="38100"/>
            <wp:wrapNone/>
            <wp:docPr id="3" name="Picture 3"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223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8240" behindDoc="0" locked="0" layoutInCell="1" allowOverlap="1" wp14:anchorId="10155362" wp14:editId="7C78BB67">
            <wp:simplePos x="0" y="0"/>
            <wp:positionH relativeFrom="column">
              <wp:posOffset>-21590</wp:posOffset>
            </wp:positionH>
            <wp:positionV relativeFrom="paragraph">
              <wp:posOffset>-454025</wp:posOffset>
            </wp:positionV>
            <wp:extent cx="6858000" cy="736600"/>
            <wp:effectExtent l="0" t="0" r="0" b="0"/>
            <wp:wrapNone/>
            <wp:docPr id="7" name="Picture 7" descr="grant_synopsis-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nt_synopsis-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3AD34" w14:textId="77777777" w:rsidR="001D22E2" w:rsidRDefault="001D22E2"/>
    <w:p w14:paraId="66F850EC" w14:textId="77777777" w:rsidR="00D10FEC" w:rsidRDefault="00D10FEC" w:rsidP="00D10FEC">
      <w:pPr>
        <w:rPr>
          <w:rFonts w:ascii="Raleway" w:hAnsi="Raleway"/>
          <w:b/>
          <w:bCs/>
          <w:szCs w:val="28"/>
        </w:rPr>
      </w:pPr>
    </w:p>
    <w:p w14:paraId="5F454DF1" w14:textId="77777777" w:rsidR="00D10FEC" w:rsidRPr="00D10FEC" w:rsidRDefault="00D10FEC" w:rsidP="00D10FEC">
      <w:pPr>
        <w:rPr>
          <w:rFonts w:ascii="Raleway" w:hAnsi="Raleway"/>
          <w:b/>
          <w:bCs/>
          <w:sz w:val="16"/>
          <w:szCs w:val="16"/>
        </w:rPr>
      </w:pPr>
    </w:p>
    <w:p w14:paraId="465C1C82" w14:textId="6AC6CA41" w:rsidR="72453A10" w:rsidRDefault="72453A10" w:rsidP="42CBEEE6">
      <w:pPr>
        <w:jc w:val="center"/>
        <w:rPr>
          <w:rFonts w:ascii="Calibri" w:eastAsia="Calibri" w:hAnsi="Calibri" w:cs="Calibri"/>
          <w:b/>
          <w:bCs/>
        </w:rPr>
      </w:pPr>
      <w:r w:rsidRPr="42CBEEE6">
        <w:rPr>
          <w:rFonts w:ascii="Calibri" w:eastAsia="Calibri" w:hAnsi="Calibri" w:cs="Calibri"/>
          <w:b/>
          <w:bCs/>
        </w:rPr>
        <w:t>Impact of Community Pharmacist-Provided Enhanced Patient Care Services in a Medicaid Population</w:t>
      </w:r>
    </w:p>
    <w:p w14:paraId="2C1F6F00" w14:textId="26832B8D" w:rsidR="00D10FEC" w:rsidRPr="004E517E" w:rsidRDefault="00831410" w:rsidP="00D10FEC">
      <w:pPr>
        <w:jc w:val="center"/>
        <w:rPr>
          <w:rFonts w:ascii="Raleway" w:hAnsi="Raleway"/>
          <w:sz w:val="22"/>
          <w:szCs w:val="22"/>
        </w:rPr>
      </w:pPr>
      <w:r>
        <w:rPr>
          <w:rFonts w:ascii="Raleway" w:hAnsi="Raleway"/>
          <w:sz w:val="22"/>
          <w:szCs w:val="22"/>
        </w:rPr>
        <w:t>Salvati S, McGrath S, Kirisci L, Bhosle M, and Coley K</w:t>
      </w:r>
      <w:r w:rsidR="00134A33">
        <w:rPr>
          <w:rFonts w:ascii="Raleway" w:hAnsi="Raleway"/>
          <w:sz w:val="22"/>
          <w:szCs w:val="22"/>
        </w:rPr>
        <w:t>C</w:t>
      </w:r>
    </w:p>
    <w:p w14:paraId="4CF21AB5" w14:textId="0933A943" w:rsidR="00D10FEC" w:rsidRPr="004E517E" w:rsidRDefault="00831410" w:rsidP="00D10FEC">
      <w:pPr>
        <w:jc w:val="center"/>
        <w:rPr>
          <w:rFonts w:ascii="Raleway" w:hAnsi="Raleway"/>
          <w:sz w:val="20"/>
          <w:szCs w:val="20"/>
        </w:rPr>
      </w:pPr>
      <w:r w:rsidRPr="4684DC40">
        <w:rPr>
          <w:rFonts w:ascii="Raleway" w:hAnsi="Raleway"/>
          <w:sz w:val="20"/>
          <w:szCs w:val="20"/>
        </w:rPr>
        <w:t>University of Pittsburgh School of Pharmacy</w:t>
      </w:r>
      <w:r w:rsidR="00935D99" w:rsidRPr="4684DC40">
        <w:rPr>
          <w:rFonts w:ascii="Raleway" w:hAnsi="Raleway"/>
          <w:sz w:val="20"/>
          <w:szCs w:val="20"/>
        </w:rPr>
        <w:t xml:space="preserve"> | </w:t>
      </w:r>
      <w:r w:rsidR="591B7DFB" w:rsidRPr="4684DC40">
        <w:rPr>
          <w:rFonts w:ascii="Raleway" w:hAnsi="Raleway"/>
          <w:sz w:val="20"/>
          <w:szCs w:val="20"/>
        </w:rPr>
        <w:t>Pittsburgh</w:t>
      </w:r>
      <w:r w:rsidRPr="4684DC40">
        <w:rPr>
          <w:rFonts w:ascii="Raleway" w:hAnsi="Raleway"/>
          <w:sz w:val="20"/>
          <w:szCs w:val="20"/>
        </w:rPr>
        <w:t>, PA</w:t>
      </w:r>
    </w:p>
    <w:p w14:paraId="7EF77092" w14:textId="77777777" w:rsidR="00867A4F" w:rsidRPr="00D10FEC" w:rsidRDefault="00867A4F" w:rsidP="001D22E2">
      <w:pPr>
        <w:jc w:val="center"/>
        <w:rPr>
          <w:rFonts w:ascii="Bell MT" w:hAnsi="Bell MT"/>
          <w:b/>
          <w:sz w:val="10"/>
          <w:szCs w:val="12"/>
        </w:rPr>
      </w:pPr>
    </w:p>
    <w:p w14:paraId="75A69F40" w14:textId="77777777" w:rsidR="00811AB5" w:rsidRPr="00811AB5" w:rsidRDefault="00811AB5" w:rsidP="001D22E2">
      <w:pPr>
        <w:jc w:val="center"/>
        <w:rPr>
          <w:sz w:val="16"/>
          <w:szCs w:val="16"/>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9545"/>
      </w:tblGrid>
      <w:tr w:rsidR="00400813" w14:paraId="4F8E75EC" w14:textId="77777777" w:rsidTr="4C711055">
        <w:tc>
          <w:tcPr>
            <w:tcW w:w="10790" w:type="dxa"/>
            <w:gridSpan w:val="2"/>
            <w:shd w:val="clear" w:color="auto" w:fill="CCCCCC"/>
            <w:vAlign w:val="center"/>
          </w:tcPr>
          <w:p w14:paraId="1438512A" w14:textId="77777777" w:rsidR="00400813" w:rsidRPr="00644BB7" w:rsidRDefault="00400813" w:rsidP="00032C31">
            <w:pPr>
              <w:jc w:val="center"/>
              <w:rPr>
                <w:rFonts w:ascii="Raleway" w:hAnsi="Raleway"/>
                <w:b/>
                <w:sz w:val="22"/>
                <w:szCs w:val="22"/>
              </w:rPr>
            </w:pPr>
            <w:r w:rsidRPr="00644BB7">
              <w:rPr>
                <w:rFonts w:ascii="Raleway" w:hAnsi="Raleway"/>
                <w:b/>
                <w:sz w:val="22"/>
                <w:szCs w:val="22"/>
              </w:rPr>
              <w:t>Objectives</w:t>
            </w:r>
          </w:p>
        </w:tc>
      </w:tr>
      <w:tr w:rsidR="00400813" w14:paraId="049ED1DA" w14:textId="77777777" w:rsidTr="4C711055">
        <w:tc>
          <w:tcPr>
            <w:tcW w:w="10790" w:type="dxa"/>
            <w:gridSpan w:val="2"/>
          </w:tcPr>
          <w:p w14:paraId="595217D0" w14:textId="42C53BC4" w:rsidR="00935D99" w:rsidRPr="00831410" w:rsidRDefault="1E2A748A" w:rsidP="42CBEEE6">
            <w:pPr>
              <w:pStyle w:val="ListParagraph"/>
              <w:numPr>
                <w:ilvl w:val="0"/>
                <w:numId w:val="2"/>
              </w:numPr>
              <w:rPr>
                <w:rFonts w:ascii="Calibri" w:eastAsia="Calibri" w:hAnsi="Calibri" w:cs="Calibri"/>
                <w:sz w:val="22"/>
                <w:szCs w:val="22"/>
              </w:rPr>
            </w:pPr>
            <w:r w:rsidRPr="42CBEEE6">
              <w:rPr>
                <w:rFonts w:ascii="Calibri" w:eastAsia="Calibri" w:hAnsi="Calibri" w:cs="Calibri"/>
                <w:sz w:val="22"/>
                <w:szCs w:val="22"/>
              </w:rPr>
              <w:t xml:space="preserve">The primary objective of this study </w:t>
            </w:r>
            <w:r w:rsidR="1E037AAA" w:rsidRPr="42CBEEE6">
              <w:rPr>
                <w:rFonts w:ascii="Calibri" w:eastAsia="Calibri" w:hAnsi="Calibri" w:cs="Calibri"/>
                <w:sz w:val="22"/>
                <w:szCs w:val="22"/>
              </w:rPr>
              <w:t xml:space="preserve">was </w:t>
            </w:r>
            <w:r w:rsidRPr="42CBEEE6">
              <w:rPr>
                <w:rFonts w:ascii="Calibri" w:eastAsia="Calibri" w:hAnsi="Calibri" w:cs="Calibri"/>
                <w:sz w:val="22"/>
                <w:szCs w:val="22"/>
              </w:rPr>
              <w:t xml:space="preserve">to evaluate the impact of pharmacist-provided patient care services as part of a Medicaid </w:t>
            </w:r>
            <w:r w:rsidRPr="42CBEEE6">
              <w:rPr>
                <w:rFonts w:ascii="Calibri" w:hAnsi="Calibri"/>
                <w:color w:val="000000" w:themeColor="text1"/>
                <w:sz w:val="22"/>
                <w:szCs w:val="22"/>
              </w:rPr>
              <w:t>Managed Care Organization (MCO)</w:t>
            </w:r>
            <w:r w:rsidRPr="42CBEEE6">
              <w:rPr>
                <w:rFonts w:ascii="Calibri" w:eastAsia="Calibri" w:hAnsi="Calibri" w:cs="Calibri"/>
                <w:sz w:val="22"/>
                <w:szCs w:val="22"/>
              </w:rPr>
              <w:t xml:space="preserve"> payor contract on metrics including medication adherence, naloxone dispensing, and COVID-19 vaccination gap closure. </w:t>
            </w:r>
          </w:p>
          <w:p w14:paraId="14DD309E" w14:textId="0778E207" w:rsidR="00935D99" w:rsidRPr="00831410" w:rsidRDefault="1E2A748A" w:rsidP="42CBEEE6">
            <w:pPr>
              <w:pStyle w:val="ListParagraph"/>
              <w:numPr>
                <w:ilvl w:val="0"/>
                <w:numId w:val="2"/>
              </w:numPr>
              <w:rPr>
                <w:rFonts w:ascii="Calibri" w:eastAsia="Calibri" w:hAnsi="Calibri" w:cs="Calibri"/>
                <w:sz w:val="22"/>
                <w:szCs w:val="22"/>
                <w:shd w:val="clear" w:color="auto" w:fill="FFFFFF"/>
              </w:rPr>
            </w:pPr>
            <w:r w:rsidRPr="4C711055">
              <w:rPr>
                <w:rFonts w:ascii="Calibri" w:eastAsia="Calibri" w:hAnsi="Calibri" w:cs="Calibri"/>
                <w:sz w:val="22"/>
                <w:szCs w:val="22"/>
              </w:rPr>
              <w:t xml:space="preserve">The secondary objective </w:t>
            </w:r>
            <w:r w:rsidR="7BC8E44F" w:rsidRPr="4C711055">
              <w:rPr>
                <w:rFonts w:ascii="Calibri" w:eastAsia="Calibri" w:hAnsi="Calibri" w:cs="Calibri"/>
                <w:sz w:val="22"/>
                <w:szCs w:val="22"/>
              </w:rPr>
              <w:t>was</w:t>
            </w:r>
            <w:r w:rsidRPr="4C711055">
              <w:rPr>
                <w:rFonts w:ascii="Calibri" w:eastAsia="Calibri" w:hAnsi="Calibri" w:cs="Calibri"/>
                <w:sz w:val="22"/>
                <w:szCs w:val="22"/>
              </w:rPr>
              <w:t xml:space="preserve"> to develop a </w:t>
            </w:r>
            <w:r w:rsidR="093BDE7E" w:rsidRPr="4C711055">
              <w:rPr>
                <w:rFonts w:ascii="Calibri" w:eastAsia="Calibri" w:hAnsi="Calibri" w:cs="Calibri"/>
                <w:sz w:val="22"/>
                <w:szCs w:val="22"/>
              </w:rPr>
              <w:t xml:space="preserve">Resource </w:t>
            </w:r>
            <w:r w:rsidRPr="4C711055">
              <w:rPr>
                <w:rFonts w:ascii="Calibri" w:eastAsia="Calibri" w:hAnsi="Calibri" w:cs="Calibri"/>
                <w:sz w:val="22"/>
                <w:szCs w:val="22"/>
              </w:rPr>
              <w:t xml:space="preserve">Guide to facilitate analyses of Pharmacist </w:t>
            </w:r>
            <w:proofErr w:type="spellStart"/>
            <w:r w:rsidRPr="4C711055">
              <w:rPr>
                <w:rFonts w:ascii="Calibri" w:eastAsia="Calibri" w:hAnsi="Calibri" w:cs="Calibri"/>
                <w:sz w:val="22"/>
                <w:szCs w:val="22"/>
              </w:rPr>
              <w:t>eCare</w:t>
            </w:r>
            <w:proofErr w:type="spellEnd"/>
            <w:r w:rsidRPr="4C711055">
              <w:rPr>
                <w:rFonts w:ascii="Calibri" w:eastAsia="Calibri" w:hAnsi="Calibri" w:cs="Calibri"/>
                <w:sz w:val="22"/>
                <w:szCs w:val="22"/>
              </w:rPr>
              <w:t xml:space="preserve"> Plan data (</w:t>
            </w:r>
            <w:proofErr w:type="spellStart"/>
            <w:r w:rsidRPr="4C711055">
              <w:rPr>
                <w:rFonts w:ascii="Calibri" w:eastAsia="Calibri" w:hAnsi="Calibri" w:cs="Calibri"/>
                <w:sz w:val="22"/>
                <w:szCs w:val="22"/>
              </w:rPr>
              <w:t>PeCP</w:t>
            </w:r>
            <w:proofErr w:type="spellEnd"/>
            <w:r w:rsidRPr="4C711055">
              <w:rPr>
                <w:rFonts w:ascii="Calibri" w:eastAsia="Calibri" w:hAnsi="Calibri" w:cs="Calibri"/>
                <w:sz w:val="22"/>
                <w:szCs w:val="22"/>
              </w:rPr>
              <w:t>) with claims data.</w:t>
            </w:r>
          </w:p>
        </w:tc>
      </w:tr>
      <w:tr w:rsidR="00400813" w14:paraId="076F4D55" w14:textId="77777777" w:rsidTr="4C711055">
        <w:trPr>
          <w:trHeight w:val="260"/>
        </w:trPr>
        <w:tc>
          <w:tcPr>
            <w:tcW w:w="10790" w:type="dxa"/>
            <w:gridSpan w:val="2"/>
            <w:shd w:val="clear" w:color="auto" w:fill="CCCCCC"/>
          </w:tcPr>
          <w:p w14:paraId="5BE5515D" w14:textId="77777777" w:rsidR="00400813" w:rsidRPr="00644BB7" w:rsidRDefault="00400813" w:rsidP="00032C31">
            <w:pPr>
              <w:jc w:val="center"/>
              <w:rPr>
                <w:rFonts w:ascii="Raleway" w:hAnsi="Raleway"/>
                <w:b/>
                <w:sz w:val="22"/>
                <w:szCs w:val="22"/>
              </w:rPr>
            </w:pPr>
            <w:r w:rsidRPr="00644BB7">
              <w:rPr>
                <w:rFonts w:ascii="Raleway" w:hAnsi="Raleway"/>
                <w:b/>
                <w:sz w:val="22"/>
                <w:szCs w:val="22"/>
              </w:rPr>
              <w:t>Methods</w:t>
            </w:r>
          </w:p>
        </w:tc>
      </w:tr>
      <w:tr w:rsidR="001D22E2" w14:paraId="50C0CCBF" w14:textId="77777777" w:rsidTr="4C711055">
        <w:tc>
          <w:tcPr>
            <w:tcW w:w="1245" w:type="dxa"/>
          </w:tcPr>
          <w:p w14:paraId="53F6629C" w14:textId="77777777" w:rsidR="0058677E" w:rsidRPr="008246C5" w:rsidRDefault="0058677E" w:rsidP="0058677E">
            <w:pPr>
              <w:rPr>
                <w:rFonts w:ascii="Calibri" w:hAnsi="Calibri"/>
              </w:rPr>
            </w:pPr>
            <w:r w:rsidRPr="008246C5">
              <w:rPr>
                <w:rFonts w:ascii="Calibri" w:hAnsi="Calibri"/>
              </w:rPr>
              <w:t>Design</w:t>
            </w:r>
          </w:p>
          <w:p w14:paraId="2E31E55F" w14:textId="77777777" w:rsidR="001D22E2" w:rsidRDefault="001D22E2" w:rsidP="0058677E"/>
        </w:tc>
        <w:tc>
          <w:tcPr>
            <w:tcW w:w="9545" w:type="dxa"/>
          </w:tcPr>
          <w:p w14:paraId="1028D661" w14:textId="6D128067" w:rsidR="34E7DD33" w:rsidRDefault="34E7DD33" w:rsidP="42CBEEE6">
            <w:pPr>
              <w:pStyle w:val="ListParagraph"/>
              <w:numPr>
                <w:ilvl w:val="0"/>
                <w:numId w:val="21"/>
              </w:numPr>
              <w:rPr>
                <w:rFonts w:ascii="Calibri" w:hAnsi="Calibri"/>
                <w:sz w:val="22"/>
                <w:szCs w:val="22"/>
              </w:rPr>
            </w:pPr>
            <w:r w:rsidRPr="42CBEEE6">
              <w:rPr>
                <w:rFonts w:ascii="Calibri" w:hAnsi="Calibri"/>
                <w:sz w:val="22"/>
                <w:szCs w:val="22"/>
              </w:rPr>
              <w:t xml:space="preserve">This was a quasi-experimental, before/after study evaluating deidentified </w:t>
            </w:r>
            <w:proofErr w:type="spellStart"/>
            <w:r w:rsidRPr="42CBEEE6">
              <w:rPr>
                <w:rFonts w:ascii="Calibri" w:hAnsi="Calibri"/>
                <w:sz w:val="22"/>
                <w:szCs w:val="22"/>
              </w:rPr>
              <w:t>PeCP</w:t>
            </w:r>
            <w:proofErr w:type="spellEnd"/>
            <w:r w:rsidRPr="42CBEEE6">
              <w:rPr>
                <w:rFonts w:ascii="Calibri" w:hAnsi="Calibri"/>
                <w:sz w:val="22"/>
                <w:szCs w:val="22"/>
              </w:rPr>
              <w:t xml:space="preserve"> data with linked deidentified claims data of patients participating in a Medicaid MCO payor program.</w:t>
            </w:r>
          </w:p>
          <w:p w14:paraId="2C92C336" w14:textId="2A749547" w:rsidR="00831410" w:rsidRDefault="34E7DD33" w:rsidP="00831410">
            <w:pPr>
              <w:pStyle w:val="ListParagraph"/>
              <w:numPr>
                <w:ilvl w:val="0"/>
                <w:numId w:val="21"/>
              </w:numPr>
              <w:rPr>
                <w:rFonts w:ascii="Calibri" w:hAnsi="Calibri"/>
                <w:sz w:val="22"/>
                <w:szCs w:val="22"/>
              </w:rPr>
            </w:pPr>
            <w:r w:rsidRPr="42CBEEE6">
              <w:rPr>
                <w:rFonts w:ascii="Calibri" w:hAnsi="Calibri"/>
                <w:sz w:val="22"/>
                <w:szCs w:val="22"/>
              </w:rPr>
              <w:t xml:space="preserve">Medication </w:t>
            </w:r>
            <w:r w:rsidR="2E4E68A1" w:rsidRPr="42CBEEE6">
              <w:rPr>
                <w:rFonts w:ascii="Calibri" w:hAnsi="Calibri"/>
                <w:sz w:val="22"/>
                <w:szCs w:val="22"/>
              </w:rPr>
              <w:t>Adherence</w:t>
            </w:r>
          </w:p>
          <w:p w14:paraId="616E8779" w14:textId="46CD36DA" w:rsidR="00831410" w:rsidRDefault="16F217BE" w:rsidP="42CBEEE6">
            <w:pPr>
              <w:pStyle w:val="ListParagraph"/>
              <w:numPr>
                <w:ilvl w:val="1"/>
                <w:numId w:val="21"/>
              </w:numPr>
              <w:rPr>
                <w:rFonts w:ascii="Calibri" w:hAnsi="Calibri"/>
                <w:sz w:val="22"/>
                <w:szCs w:val="22"/>
              </w:rPr>
            </w:pPr>
            <w:r w:rsidRPr="42CBEEE6">
              <w:rPr>
                <w:rFonts w:ascii="Calibri" w:hAnsi="Calibri"/>
                <w:sz w:val="22"/>
                <w:szCs w:val="22"/>
              </w:rPr>
              <w:t>The payor program included</w:t>
            </w:r>
            <w:r w:rsidR="043D4061" w:rsidRPr="42CBEEE6">
              <w:rPr>
                <w:rFonts w:ascii="Calibri" w:hAnsi="Calibri"/>
                <w:sz w:val="22"/>
                <w:szCs w:val="22"/>
              </w:rPr>
              <w:t xml:space="preserve"> </w:t>
            </w:r>
            <w:r w:rsidR="0A49DA8F" w:rsidRPr="42CBEEE6">
              <w:rPr>
                <w:rFonts w:ascii="Calibri" w:hAnsi="Calibri"/>
                <w:sz w:val="22"/>
                <w:szCs w:val="22"/>
              </w:rPr>
              <w:t xml:space="preserve">four </w:t>
            </w:r>
            <w:r w:rsidR="043D4061" w:rsidRPr="42CBEEE6">
              <w:rPr>
                <w:rFonts w:ascii="Calibri" w:hAnsi="Calibri"/>
                <w:sz w:val="22"/>
                <w:szCs w:val="22"/>
              </w:rPr>
              <w:t>a</w:t>
            </w:r>
            <w:r w:rsidR="005B5C0A" w:rsidRPr="42CBEEE6">
              <w:rPr>
                <w:rFonts w:ascii="Calibri" w:hAnsi="Calibri"/>
                <w:sz w:val="22"/>
                <w:szCs w:val="22"/>
              </w:rPr>
              <w:t>dherence services</w:t>
            </w:r>
            <w:r w:rsidR="5857952A" w:rsidRPr="42CBEEE6">
              <w:rPr>
                <w:rFonts w:ascii="Calibri" w:hAnsi="Calibri"/>
                <w:sz w:val="22"/>
                <w:szCs w:val="22"/>
              </w:rPr>
              <w:t>:</w:t>
            </w:r>
            <w:r w:rsidR="005B5C0A" w:rsidRPr="42CBEEE6">
              <w:rPr>
                <w:rFonts w:ascii="Calibri" w:hAnsi="Calibri"/>
                <w:sz w:val="22"/>
                <w:szCs w:val="22"/>
              </w:rPr>
              <w:t xml:space="preserve"> medication synchronization, medication reconciliation, medication adherence packaging, and medication home delivery. </w:t>
            </w:r>
          </w:p>
          <w:p w14:paraId="374FDB40" w14:textId="2B6FC461" w:rsidR="005B5C0A" w:rsidRDefault="005B5C0A" w:rsidP="42CBEEE6">
            <w:pPr>
              <w:pStyle w:val="ListParagraph"/>
              <w:numPr>
                <w:ilvl w:val="1"/>
                <w:numId w:val="21"/>
              </w:numPr>
              <w:rPr>
                <w:rFonts w:ascii="Calibri" w:hAnsi="Calibri"/>
                <w:sz w:val="22"/>
                <w:szCs w:val="22"/>
              </w:rPr>
            </w:pPr>
            <w:r w:rsidRPr="42CBEEE6">
              <w:rPr>
                <w:rFonts w:ascii="Calibri" w:hAnsi="Calibri"/>
                <w:sz w:val="22"/>
                <w:szCs w:val="22"/>
              </w:rPr>
              <w:t>Patient medication adherence was measured</w:t>
            </w:r>
            <w:r w:rsidR="20E3D526" w:rsidRPr="42CBEEE6">
              <w:rPr>
                <w:rFonts w:ascii="Calibri" w:hAnsi="Calibri"/>
                <w:sz w:val="22"/>
                <w:szCs w:val="22"/>
              </w:rPr>
              <w:t xml:space="preserve"> and compared</w:t>
            </w:r>
            <w:r w:rsidRPr="42CBEEE6">
              <w:rPr>
                <w:rFonts w:ascii="Calibri" w:hAnsi="Calibri"/>
                <w:sz w:val="22"/>
                <w:szCs w:val="22"/>
              </w:rPr>
              <w:t xml:space="preserve"> before and after the initiation of the payor program using two-time periods; a baseline (August 1, 2020, through July 31, 2022) and intervention period (August 1, 2022, and December 31, 2023). The intervention period was when PPCN pharmacists were providing medication adherence services as part of the pay</w:t>
            </w:r>
            <w:r w:rsidR="00ED454C" w:rsidRPr="42CBEEE6">
              <w:rPr>
                <w:rFonts w:ascii="Calibri" w:hAnsi="Calibri"/>
                <w:sz w:val="22"/>
                <w:szCs w:val="22"/>
              </w:rPr>
              <w:t>o</w:t>
            </w:r>
            <w:r w:rsidRPr="42CBEEE6">
              <w:rPr>
                <w:rFonts w:ascii="Calibri" w:hAnsi="Calibri"/>
                <w:sz w:val="22"/>
                <w:szCs w:val="22"/>
              </w:rPr>
              <w:t xml:space="preserve">r program. </w:t>
            </w:r>
          </w:p>
          <w:p w14:paraId="79CF0AF0" w14:textId="77777777" w:rsidR="005B5C0A" w:rsidRDefault="005B5C0A" w:rsidP="42CBEEE6">
            <w:pPr>
              <w:pStyle w:val="ListParagraph"/>
              <w:numPr>
                <w:ilvl w:val="1"/>
                <w:numId w:val="21"/>
              </w:numPr>
              <w:rPr>
                <w:rFonts w:ascii="Calibri" w:hAnsi="Calibri"/>
                <w:sz w:val="22"/>
                <w:szCs w:val="22"/>
              </w:rPr>
            </w:pPr>
            <w:r w:rsidRPr="42CBEEE6">
              <w:rPr>
                <w:rFonts w:ascii="Calibri" w:hAnsi="Calibri"/>
                <w:sz w:val="22"/>
                <w:szCs w:val="22"/>
              </w:rPr>
              <w:t>Subjects were Medicaid patients who received (1) at least one of the four pharmacist-provided medication adherence services during the intervention period, (2) at least two prescription fills of at least one of the targeted medication classes during the intervention period, and (3) at least two prescription fills of the corresponding medication class(es) during the baseline period.</w:t>
            </w:r>
          </w:p>
          <w:p w14:paraId="33B384F9" w14:textId="52BC9BBA" w:rsidR="005B5C0A" w:rsidRDefault="005B5C0A" w:rsidP="42CBEEE6">
            <w:pPr>
              <w:pStyle w:val="ListParagraph"/>
              <w:numPr>
                <w:ilvl w:val="1"/>
                <w:numId w:val="21"/>
              </w:numPr>
              <w:rPr>
                <w:rFonts w:ascii="Calibri" w:hAnsi="Calibri"/>
                <w:sz w:val="22"/>
                <w:szCs w:val="22"/>
              </w:rPr>
            </w:pPr>
            <w:r w:rsidRPr="42CBEEE6">
              <w:rPr>
                <w:rFonts w:ascii="Calibri" w:hAnsi="Calibri"/>
                <w:sz w:val="22"/>
                <w:szCs w:val="22"/>
              </w:rPr>
              <w:t>Targeted medication classes for this study were Renin Angiotensin System Antagonists (RASAs), HMG-CoA Reductase Inhibitors (Statins), and noninsulin diabetic medications (NIDM</w:t>
            </w:r>
            <w:r w:rsidR="4277291F" w:rsidRPr="42CBEEE6">
              <w:rPr>
                <w:rFonts w:ascii="Calibri" w:hAnsi="Calibri"/>
                <w:sz w:val="22"/>
                <w:szCs w:val="22"/>
              </w:rPr>
              <w:t>s</w:t>
            </w:r>
            <w:r w:rsidRPr="42CBEEE6">
              <w:rPr>
                <w:rFonts w:ascii="Calibri" w:hAnsi="Calibri"/>
                <w:sz w:val="22"/>
                <w:szCs w:val="22"/>
              </w:rPr>
              <w:t>).</w:t>
            </w:r>
          </w:p>
          <w:p w14:paraId="4F2C0CAF" w14:textId="7DC0BA72" w:rsidR="005B5C0A" w:rsidRPr="00831410" w:rsidRDefault="66A46807" w:rsidP="00831410">
            <w:pPr>
              <w:pStyle w:val="ListParagraph"/>
              <w:numPr>
                <w:ilvl w:val="0"/>
                <w:numId w:val="21"/>
              </w:numPr>
              <w:rPr>
                <w:rFonts w:ascii="Calibri" w:hAnsi="Calibri"/>
                <w:sz w:val="22"/>
                <w:szCs w:val="22"/>
              </w:rPr>
            </w:pPr>
            <w:r w:rsidRPr="42CBEEE6">
              <w:rPr>
                <w:rFonts w:ascii="Calibri" w:hAnsi="Calibri"/>
                <w:sz w:val="22"/>
                <w:szCs w:val="22"/>
              </w:rPr>
              <w:t>Naloxone</w:t>
            </w:r>
            <w:r w:rsidR="02EB9889" w:rsidRPr="42CBEEE6">
              <w:rPr>
                <w:rFonts w:ascii="Calibri" w:hAnsi="Calibri"/>
                <w:sz w:val="22"/>
                <w:szCs w:val="22"/>
              </w:rPr>
              <w:t xml:space="preserve"> dispensing and education and COVID-19 vaccine closures were analyzed using descriptive statistics.</w:t>
            </w:r>
          </w:p>
          <w:p w14:paraId="5D3837C8" w14:textId="30A0CABE" w:rsidR="005B5C0A" w:rsidRPr="00831410" w:rsidRDefault="2183963C" w:rsidP="00831410">
            <w:pPr>
              <w:pStyle w:val="ListParagraph"/>
              <w:numPr>
                <w:ilvl w:val="0"/>
                <w:numId w:val="21"/>
              </w:numPr>
              <w:rPr>
                <w:rFonts w:ascii="Calibri" w:hAnsi="Calibri"/>
                <w:sz w:val="22"/>
                <w:szCs w:val="22"/>
              </w:rPr>
            </w:pPr>
            <w:r w:rsidRPr="4C711055">
              <w:rPr>
                <w:rFonts w:ascii="Calibri" w:hAnsi="Calibri"/>
                <w:sz w:val="22"/>
                <w:szCs w:val="22"/>
              </w:rPr>
              <w:t>T</w:t>
            </w:r>
            <w:r w:rsidR="3929D456" w:rsidRPr="4C711055">
              <w:rPr>
                <w:rFonts w:ascii="Calibri" w:hAnsi="Calibri"/>
                <w:sz w:val="22"/>
                <w:szCs w:val="22"/>
              </w:rPr>
              <w:t>o develop t</w:t>
            </w:r>
            <w:r w:rsidRPr="4C711055">
              <w:rPr>
                <w:rFonts w:ascii="Calibri" w:hAnsi="Calibri"/>
                <w:sz w:val="22"/>
                <w:szCs w:val="22"/>
              </w:rPr>
              <w:t xml:space="preserve">he </w:t>
            </w:r>
            <w:r w:rsidR="28BDA31C" w:rsidRPr="4C711055">
              <w:rPr>
                <w:rFonts w:ascii="Calibri" w:hAnsi="Calibri"/>
                <w:sz w:val="22"/>
                <w:szCs w:val="22"/>
              </w:rPr>
              <w:t xml:space="preserve">Resource </w:t>
            </w:r>
            <w:r w:rsidRPr="4C711055">
              <w:rPr>
                <w:rFonts w:ascii="Calibri" w:hAnsi="Calibri"/>
                <w:sz w:val="22"/>
                <w:szCs w:val="22"/>
              </w:rPr>
              <w:t xml:space="preserve">Guide </w:t>
            </w:r>
            <w:r w:rsidR="4AABFEF1" w:rsidRPr="4C711055">
              <w:rPr>
                <w:rFonts w:ascii="Calibri" w:hAnsi="Calibri"/>
                <w:sz w:val="22"/>
                <w:szCs w:val="22"/>
              </w:rPr>
              <w:t xml:space="preserve">data was </w:t>
            </w:r>
            <w:r w:rsidR="1987547B" w:rsidRPr="4C711055">
              <w:rPr>
                <w:rFonts w:ascii="Calibri" w:hAnsi="Calibri"/>
                <w:sz w:val="22"/>
                <w:szCs w:val="22"/>
              </w:rPr>
              <w:t>compiled</w:t>
            </w:r>
            <w:r w:rsidR="4AABFEF1" w:rsidRPr="4C711055">
              <w:rPr>
                <w:rFonts w:ascii="Calibri" w:hAnsi="Calibri"/>
                <w:sz w:val="22"/>
                <w:szCs w:val="22"/>
              </w:rPr>
              <w:t xml:space="preserve"> from project team meeting notes, electronic communications between all partners, and journal notes detailing data management and analysis. The Guide was also reviewed by outside experts for content, clarity,</w:t>
            </w:r>
            <w:r w:rsidR="1CF54C23" w:rsidRPr="4C711055">
              <w:rPr>
                <w:rFonts w:ascii="Calibri" w:hAnsi="Calibri"/>
                <w:sz w:val="22"/>
                <w:szCs w:val="22"/>
              </w:rPr>
              <w:t xml:space="preserve"> flow, and useability. </w:t>
            </w:r>
          </w:p>
        </w:tc>
      </w:tr>
      <w:tr w:rsidR="002879B1" w14:paraId="3581C2B1" w14:textId="77777777" w:rsidTr="4C711055">
        <w:tc>
          <w:tcPr>
            <w:tcW w:w="1245" w:type="dxa"/>
          </w:tcPr>
          <w:p w14:paraId="0F7B941B" w14:textId="77777777" w:rsidR="002879B1" w:rsidRPr="008246C5" w:rsidRDefault="002879B1" w:rsidP="0058677E">
            <w:pPr>
              <w:rPr>
                <w:rFonts w:ascii="Calibri" w:hAnsi="Calibri"/>
              </w:rPr>
            </w:pPr>
            <w:r w:rsidRPr="008246C5">
              <w:rPr>
                <w:rFonts w:ascii="Calibri" w:hAnsi="Calibri"/>
              </w:rPr>
              <w:t>Study endpoints</w:t>
            </w:r>
          </w:p>
        </w:tc>
        <w:tc>
          <w:tcPr>
            <w:tcW w:w="9545" w:type="dxa"/>
          </w:tcPr>
          <w:p w14:paraId="14423B6E" w14:textId="640E20DC" w:rsidR="005B5C0A" w:rsidRDefault="6A1C673A" w:rsidP="005B5C0A">
            <w:pPr>
              <w:pStyle w:val="ListParagraph"/>
              <w:numPr>
                <w:ilvl w:val="0"/>
                <w:numId w:val="25"/>
              </w:numPr>
              <w:rPr>
                <w:rFonts w:ascii="Calibri" w:hAnsi="Calibri"/>
                <w:sz w:val="22"/>
                <w:szCs w:val="22"/>
              </w:rPr>
            </w:pPr>
            <w:r w:rsidRPr="42CBEEE6">
              <w:rPr>
                <w:rFonts w:ascii="Calibri" w:hAnsi="Calibri"/>
                <w:sz w:val="22"/>
                <w:szCs w:val="22"/>
              </w:rPr>
              <w:t>Changes in</w:t>
            </w:r>
            <w:r w:rsidR="005B5C0A" w:rsidRPr="42CBEEE6">
              <w:rPr>
                <w:rFonts w:ascii="Calibri" w:hAnsi="Calibri"/>
                <w:sz w:val="22"/>
                <w:szCs w:val="22"/>
              </w:rPr>
              <w:t xml:space="preserve"> Proportion of Days Covered (PDC)</w:t>
            </w:r>
            <w:r w:rsidR="7D16F85E" w:rsidRPr="42CBEEE6">
              <w:rPr>
                <w:rFonts w:ascii="Calibri" w:hAnsi="Calibri"/>
                <w:sz w:val="22"/>
                <w:szCs w:val="22"/>
              </w:rPr>
              <w:t xml:space="preserve"> Scores (Medication Adherence)</w:t>
            </w:r>
            <w:r w:rsidR="6A8DA8E5" w:rsidRPr="42CBEEE6">
              <w:rPr>
                <w:rFonts w:ascii="Calibri" w:hAnsi="Calibri"/>
                <w:sz w:val="22"/>
                <w:szCs w:val="22"/>
              </w:rPr>
              <w:t xml:space="preserve"> for RASAs, Statins, and NIDMs.</w:t>
            </w:r>
          </w:p>
          <w:p w14:paraId="3D2E550E" w14:textId="450537D9" w:rsidR="00ED454C" w:rsidRPr="005B5C0A" w:rsidRDefault="040AF9AC" w:rsidP="00ED454C">
            <w:pPr>
              <w:pStyle w:val="ListParagraph"/>
              <w:numPr>
                <w:ilvl w:val="0"/>
                <w:numId w:val="25"/>
              </w:numPr>
              <w:rPr>
                <w:rFonts w:ascii="Calibri" w:hAnsi="Calibri"/>
                <w:sz w:val="22"/>
                <w:szCs w:val="22"/>
              </w:rPr>
            </w:pPr>
            <w:r w:rsidRPr="42CBEEE6">
              <w:rPr>
                <w:rFonts w:ascii="Calibri" w:hAnsi="Calibri"/>
                <w:sz w:val="22"/>
                <w:szCs w:val="22"/>
              </w:rPr>
              <w:t xml:space="preserve">Quantity of </w:t>
            </w:r>
            <w:r w:rsidR="2E5EDE4B" w:rsidRPr="42CBEEE6">
              <w:rPr>
                <w:rFonts w:ascii="Calibri" w:hAnsi="Calibri"/>
                <w:sz w:val="22"/>
                <w:szCs w:val="22"/>
              </w:rPr>
              <w:t xml:space="preserve">pharmacist-provided </w:t>
            </w:r>
            <w:r w:rsidRPr="42CBEEE6">
              <w:rPr>
                <w:rFonts w:ascii="Calibri" w:hAnsi="Calibri"/>
                <w:sz w:val="22"/>
                <w:szCs w:val="22"/>
              </w:rPr>
              <w:t xml:space="preserve">naloxone education and dispensing services </w:t>
            </w:r>
            <w:r w:rsidR="3673DCBD" w:rsidRPr="42CBEEE6">
              <w:rPr>
                <w:rFonts w:ascii="Calibri" w:hAnsi="Calibri"/>
                <w:sz w:val="22"/>
                <w:szCs w:val="22"/>
              </w:rPr>
              <w:t>and COVID-19 vaccine gap closures.</w:t>
            </w:r>
          </w:p>
        </w:tc>
      </w:tr>
      <w:tr w:rsidR="00400813" w14:paraId="5DC9C81A" w14:textId="77777777" w:rsidTr="4C711055">
        <w:tc>
          <w:tcPr>
            <w:tcW w:w="10790" w:type="dxa"/>
            <w:gridSpan w:val="2"/>
            <w:shd w:val="clear" w:color="auto" w:fill="CCCCCC"/>
          </w:tcPr>
          <w:p w14:paraId="4E16DA84" w14:textId="77777777" w:rsidR="00400813" w:rsidRPr="00644BB7" w:rsidRDefault="00400813" w:rsidP="00032C31">
            <w:pPr>
              <w:jc w:val="center"/>
              <w:rPr>
                <w:rFonts w:ascii="Raleway" w:hAnsi="Raleway"/>
                <w:sz w:val="22"/>
                <w:szCs w:val="22"/>
              </w:rPr>
            </w:pPr>
            <w:r w:rsidRPr="00644BB7">
              <w:rPr>
                <w:rFonts w:ascii="Raleway" w:hAnsi="Raleway"/>
                <w:b/>
                <w:sz w:val="22"/>
                <w:szCs w:val="22"/>
              </w:rPr>
              <w:t>Results</w:t>
            </w:r>
          </w:p>
        </w:tc>
      </w:tr>
      <w:tr w:rsidR="00400813" w14:paraId="432DA6DD" w14:textId="77777777" w:rsidTr="4C711055">
        <w:tc>
          <w:tcPr>
            <w:tcW w:w="10790" w:type="dxa"/>
            <w:gridSpan w:val="2"/>
          </w:tcPr>
          <w:p w14:paraId="7FF90728" w14:textId="38CCB9A7" w:rsidR="001F0447" w:rsidRDefault="7D9F672B" w:rsidP="001F0447">
            <w:pPr>
              <w:numPr>
                <w:ilvl w:val="0"/>
                <w:numId w:val="24"/>
              </w:numPr>
              <w:rPr>
                <w:rFonts w:ascii="Calibri" w:hAnsi="Calibri"/>
                <w:sz w:val="22"/>
                <w:szCs w:val="22"/>
              </w:rPr>
            </w:pPr>
            <w:r w:rsidRPr="42CBEEE6">
              <w:rPr>
                <w:rFonts w:ascii="Calibri" w:hAnsi="Calibri"/>
                <w:sz w:val="22"/>
                <w:szCs w:val="22"/>
              </w:rPr>
              <w:t>Adherence</w:t>
            </w:r>
          </w:p>
          <w:p w14:paraId="671725E2" w14:textId="14A1F330" w:rsidR="001F0447" w:rsidRDefault="005B5C0A" w:rsidP="42CBEEE6">
            <w:pPr>
              <w:numPr>
                <w:ilvl w:val="1"/>
                <w:numId w:val="24"/>
              </w:numPr>
              <w:rPr>
                <w:rFonts w:ascii="Calibri" w:hAnsi="Calibri"/>
                <w:sz w:val="22"/>
                <w:szCs w:val="22"/>
              </w:rPr>
            </w:pPr>
            <w:r w:rsidRPr="42CBEEE6">
              <w:rPr>
                <w:rFonts w:ascii="Calibri" w:hAnsi="Calibri"/>
                <w:sz w:val="22"/>
                <w:szCs w:val="22"/>
              </w:rPr>
              <w:t xml:space="preserve">There were 1,361 total Medicaid patients that met inclusion criteria for the adherence analyses. </w:t>
            </w:r>
            <w:r w:rsidR="00935D99" w:rsidRPr="42CBEEE6">
              <w:rPr>
                <w:rFonts w:ascii="Calibri" w:hAnsi="Calibri"/>
                <w:sz w:val="22"/>
                <w:szCs w:val="22"/>
              </w:rPr>
              <w:t xml:space="preserve"> </w:t>
            </w:r>
          </w:p>
          <w:p w14:paraId="5EDBF3A4" w14:textId="12BDBD88" w:rsidR="00555EC9" w:rsidRDefault="005B5C0A" w:rsidP="42CBEEE6">
            <w:pPr>
              <w:numPr>
                <w:ilvl w:val="1"/>
                <w:numId w:val="24"/>
              </w:numPr>
              <w:rPr>
                <w:rFonts w:ascii="Calibri" w:hAnsi="Calibri"/>
                <w:sz w:val="22"/>
                <w:szCs w:val="22"/>
              </w:rPr>
            </w:pPr>
            <w:r w:rsidRPr="4C711055">
              <w:rPr>
                <w:rFonts w:ascii="Calibri" w:hAnsi="Calibri"/>
                <w:sz w:val="22"/>
                <w:szCs w:val="22"/>
              </w:rPr>
              <w:t>Overall, average PDC scores across all three drug classes increased significantly during the intervention period when patients were receiving pharmacist-provided adherence services</w:t>
            </w:r>
            <w:r w:rsidR="001F0447" w:rsidRPr="4C711055">
              <w:rPr>
                <w:rFonts w:ascii="Calibri" w:hAnsi="Calibri"/>
                <w:sz w:val="22"/>
                <w:szCs w:val="22"/>
              </w:rPr>
              <w:t>.</w:t>
            </w:r>
            <w:r w:rsidR="00ED454C" w:rsidRPr="4C711055">
              <w:rPr>
                <w:rFonts w:ascii="Calibri" w:hAnsi="Calibri"/>
                <w:sz w:val="22"/>
                <w:szCs w:val="22"/>
              </w:rPr>
              <w:t xml:space="preserve"> </w:t>
            </w:r>
          </w:p>
          <w:p w14:paraId="3846921C" w14:textId="4ECB04E3" w:rsidR="01F53AAE" w:rsidRDefault="01F53AAE" w:rsidP="4C711055">
            <w:pPr>
              <w:ind w:left="1170"/>
              <w:rPr>
                <w:rFonts w:ascii="Calibri" w:hAnsi="Calibri"/>
                <w:sz w:val="22"/>
                <w:szCs w:val="22"/>
              </w:rPr>
            </w:pPr>
            <w:r>
              <w:rPr>
                <w:noProof/>
              </w:rPr>
              <w:lastRenderedPageBreak/>
              <w:drawing>
                <wp:inline distT="0" distB="0" distL="0" distR="0" wp14:anchorId="636927DF" wp14:editId="4FBBE77C">
                  <wp:extent cx="4896533" cy="1471295"/>
                  <wp:effectExtent l="0" t="0" r="0" b="0"/>
                  <wp:docPr id="20545319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31949" name="Picture 2054531949"/>
                          <pic:cNvPicPr/>
                        </pic:nvPicPr>
                        <pic:blipFill>
                          <a:blip r:embed="rId9">
                            <a:extLst>
                              <a:ext uri="{28A0092B-C50C-407E-A947-70E740481C1C}">
                                <a14:useLocalDpi xmlns:a14="http://schemas.microsoft.com/office/drawing/2010/main"/>
                              </a:ext>
                            </a:extLst>
                          </a:blip>
                          <a:stretch>
                            <a:fillRect/>
                          </a:stretch>
                        </pic:blipFill>
                        <pic:spPr>
                          <a:xfrm>
                            <a:off x="0" y="0"/>
                            <a:ext cx="4896533" cy="1471295"/>
                          </a:xfrm>
                          <a:prstGeom prst="rect">
                            <a:avLst/>
                          </a:prstGeom>
                        </pic:spPr>
                      </pic:pic>
                    </a:graphicData>
                  </a:graphic>
                </wp:inline>
              </w:drawing>
            </w:r>
          </w:p>
          <w:p w14:paraId="43D00FD5" w14:textId="430BA6AF" w:rsidR="00555EC9" w:rsidRDefault="70027E10" w:rsidP="42CBEEE6">
            <w:pPr>
              <w:numPr>
                <w:ilvl w:val="1"/>
                <w:numId w:val="24"/>
              </w:numPr>
              <w:rPr>
                <w:rFonts w:ascii="Calibri" w:hAnsi="Calibri"/>
                <w:sz w:val="22"/>
                <w:szCs w:val="22"/>
              </w:rPr>
            </w:pPr>
            <w:r w:rsidRPr="42CBEEE6">
              <w:rPr>
                <w:rFonts w:ascii="Calibri" w:hAnsi="Calibri"/>
                <w:sz w:val="22"/>
                <w:szCs w:val="22"/>
              </w:rPr>
              <w:t>The sub-analysis showed a</w:t>
            </w:r>
            <w:r w:rsidR="001F0447" w:rsidRPr="42CBEEE6">
              <w:rPr>
                <w:rFonts w:ascii="Calibri" w:hAnsi="Calibri"/>
                <w:sz w:val="22"/>
                <w:szCs w:val="22"/>
              </w:rPr>
              <w:t>verage PDC scores among nonadherent patients significantly increased across all three drug classes during the intervention period.</w:t>
            </w:r>
            <w:r w:rsidR="00ED454C" w:rsidRPr="42CBEEE6">
              <w:rPr>
                <w:rFonts w:ascii="Calibri" w:hAnsi="Calibri"/>
                <w:sz w:val="22"/>
                <w:szCs w:val="22"/>
              </w:rPr>
              <w:t xml:space="preserve"> </w:t>
            </w:r>
          </w:p>
          <w:p w14:paraId="28B6D880" w14:textId="7F388F5A" w:rsidR="00ED454C" w:rsidRPr="005B5C0A" w:rsidRDefault="2F837109" w:rsidP="42CBEEE6">
            <w:pPr>
              <w:numPr>
                <w:ilvl w:val="0"/>
                <w:numId w:val="24"/>
              </w:numPr>
              <w:rPr>
                <w:rFonts w:ascii="Calibri" w:hAnsi="Calibri"/>
                <w:sz w:val="22"/>
                <w:szCs w:val="22"/>
              </w:rPr>
            </w:pPr>
            <w:r w:rsidRPr="42CBEEE6">
              <w:rPr>
                <w:rFonts w:ascii="Calibri" w:hAnsi="Calibri"/>
                <w:sz w:val="22"/>
                <w:szCs w:val="22"/>
              </w:rPr>
              <w:t>There were 536 n</w:t>
            </w:r>
            <w:r w:rsidR="1CE9B1FB" w:rsidRPr="42CBEEE6">
              <w:rPr>
                <w:rFonts w:ascii="Calibri" w:hAnsi="Calibri"/>
                <w:sz w:val="22"/>
                <w:szCs w:val="22"/>
              </w:rPr>
              <w:t>aloxone</w:t>
            </w:r>
            <w:r w:rsidR="3F4F21CB" w:rsidRPr="42CBEEE6">
              <w:rPr>
                <w:rFonts w:ascii="Calibri" w:hAnsi="Calibri"/>
                <w:sz w:val="22"/>
                <w:szCs w:val="22"/>
              </w:rPr>
              <w:t xml:space="preserve"> education and dispensing services provided to 425 unique patients across 48 unique pharmacies.</w:t>
            </w:r>
          </w:p>
          <w:p w14:paraId="71747AB1" w14:textId="2A1291C1" w:rsidR="00ED454C" w:rsidRPr="005B5C0A" w:rsidRDefault="3F4F21CB" w:rsidP="42CBEEE6">
            <w:pPr>
              <w:numPr>
                <w:ilvl w:val="0"/>
                <w:numId w:val="24"/>
              </w:numPr>
              <w:rPr>
                <w:rFonts w:ascii="Calibri" w:hAnsi="Calibri"/>
                <w:sz w:val="22"/>
                <w:szCs w:val="22"/>
              </w:rPr>
            </w:pPr>
            <w:r w:rsidRPr="42CBEEE6">
              <w:rPr>
                <w:rFonts w:ascii="Calibri" w:hAnsi="Calibri"/>
                <w:sz w:val="22"/>
                <w:szCs w:val="22"/>
              </w:rPr>
              <w:t xml:space="preserve">There were 630 </w:t>
            </w:r>
            <w:r w:rsidR="1CE9B1FB" w:rsidRPr="42CBEEE6">
              <w:rPr>
                <w:rFonts w:ascii="Calibri" w:hAnsi="Calibri"/>
                <w:sz w:val="22"/>
                <w:szCs w:val="22"/>
              </w:rPr>
              <w:t>COVID-19 Vaccine Gap Closure</w:t>
            </w:r>
            <w:r w:rsidR="39A5F615" w:rsidRPr="42CBEEE6">
              <w:rPr>
                <w:rFonts w:ascii="Calibri" w:hAnsi="Calibri"/>
                <w:sz w:val="22"/>
                <w:szCs w:val="22"/>
              </w:rPr>
              <w:t>s for 579 unique patients across 60 unique pharmacies.</w:t>
            </w:r>
          </w:p>
          <w:p w14:paraId="6A6516EE" w14:textId="4247D4B6" w:rsidR="00ED454C" w:rsidRPr="005B5C0A" w:rsidRDefault="72961D2D" w:rsidP="42CBEEE6">
            <w:pPr>
              <w:numPr>
                <w:ilvl w:val="0"/>
                <w:numId w:val="23"/>
              </w:numPr>
              <w:rPr>
                <w:rFonts w:ascii="Calibri" w:hAnsi="Calibri"/>
                <w:sz w:val="22"/>
                <w:szCs w:val="22"/>
              </w:rPr>
            </w:pPr>
            <w:r w:rsidRPr="42CBEEE6">
              <w:rPr>
                <w:rFonts w:ascii="Calibri" w:hAnsi="Calibri"/>
                <w:sz w:val="22"/>
                <w:szCs w:val="22"/>
              </w:rPr>
              <w:t xml:space="preserve">The </w:t>
            </w:r>
            <w:r w:rsidR="00D64D2A">
              <w:rPr>
                <w:rFonts w:ascii="Calibri" w:hAnsi="Calibri"/>
                <w:sz w:val="22"/>
                <w:szCs w:val="22"/>
              </w:rPr>
              <w:t xml:space="preserve">Resource </w:t>
            </w:r>
            <w:r w:rsidRPr="42CBEEE6">
              <w:rPr>
                <w:rFonts w:ascii="Calibri" w:hAnsi="Calibri"/>
                <w:sz w:val="22"/>
                <w:szCs w:val="22"/>
              </w:rPr>
              <w:t xml:space="preserve">Guide is </w:t>
            </w:r>
            <w:r w:rsidR="00D64D2A">
              <w:rPr>
                <w:rFonts w:ascii="Calibri" w:hAnsi="Calibri"/>
                <w:sz w:val="22"/>
                <w:szCs w:val="22"/>
              </w:rPr>
              <w:t>provided as a</w:t>
            </w:r>
            <w:r w:rsidRPr="42CBEEE6">
              <w:rPr>
                <w:rFonts w:ascii="Calibri" w:hAnsi="Calibri"/>
                <w:sz w:val="22"/>
                <w:szCs w:val="22"/>
              </w:rPr>
              <w:t xml:space="preserve"> separate attachment.</w:t>
            </w:r>
          </w:p>
        </w:tc>
      </w:tr>
      <w:tr w:rsidR="00400813" w14:paraId="1C6F8EFA" w14:textId="77777777" w:rsidTr="4C711055">
        <w:tc>
          <w:tcPr>
            <w:tcW w:w="10790" w:type="dxa"/>
            <w:gridSpan w:val="2"/>
            <w:shd w:val="clear" w:color="auto" w:fill="CCCCCC"/>
          </w:tcPr>
          <w:p w14:paraId="49675689" w14:textId="77777777" w:rsidR="00400813" w:rsidRPr="00644BB7" w:rsidRDefault="00400813" w:rsidP="00032C31">
            <w:pPr>
              <w:jc w:val="center"/>
              <w:rPr>
                <w:rFonts w:ascii="Raleway" w:hAnsi="Raleway"/>
                <w:sz w:val="22"/>
                <w:szCs w:val="22"/>
              </w:rPr>
            </w:pPr>
            <w:r w:rsidRPr="00644BB7">
              <w:rPr>
                <w:rFonts w:ascii="Raleway" w:hAnsi="Raleway"/>
                <w:b/>
                <w:sz w:val="22"/>
                <w:szCs w:val="22"/>
              </w:rPr>
              <w:lastRenderedPageBreak/>
              <w:t>Conclusion</w:t>
            </w:r>
          </w:p>
        </w:tc>
      </w:tr>
      <w:tr w:rsidR="00D10FEC" w14:paraId="5A624BA4" w14:textId="77777777" w:rsidTr="4C711055">
        <w:tc>
          <w:tcPr>
            <w:tcW w:w="10790" w:type="dxa"/>
            <w:gridSpan w:val="2"/>
          </w:tcPr>
          <w:p w14:paraId="7BE73C06" w14:textId="30638F13" w:rsidR="00935D99" w:rsidRPr="00EE22F5" w:rsidRDefault="5AE15527" w:rsidP="42CBEEE6">
            <w:pPr>
              <w:pStyle w:val="ListParagraph"/>
              <w:numPr>
                <w:ilvl w:val="0"/>
                <w:numId w:val="1"/>
              </w:numPr>
              <w:rPr>
                <w:rFonts w:ascii="Aptos" w:eastAsia="Aptos" w:hAnsi="Aptos" w:cs="Aptos"/>
                <w:color w:val="000000" w:themeColor="text1"/>
                <w:sz w:val="22"/>
                <w:szCs w:val="22"/>
              </w:rPr>
            </w:pPr>
            <w:r w:rsidRPr="42CBEEE6">
              <w:rPr>
                <w:rFonts w:ascii="Aptos" w:eastAsia="Aptos" w:hAnsi="Aptos" w:cs="Aptos"/>
                <w:color w:val="000000" w:themeColor="text1"/>
                <w:sz w:val="22"/>
                <w:szCs w:val="22"/>
              </w:rPr>
              <w:t>This study demonstrates</w:t>
            </w:r>
            <w:r w:rsidR="5D2906AD" w:rsidRPr="42CBEEE6">
              <w:rPr>
                <w:rFonts w:ascii="Aptos" w:eastAsia="Aptos" w:hAnsi="Aptos" w:cs="Aptos"/>
                <w:color w:val="000000" w:themeColor="text1"/>
                <w:sz w:val="22"/>
                <w:szCs w:val="22"/>
              </w:rPr>
              <w:t xml:space="preserve"> </w:t>
            </w:r>
            <w:r w:rsidRPr="42CBEEE6">
              <w:rPr>
                <w:rFonts w:ascii="Aptos" w:eastAsia="Aptos" w:hAnsi="Aptos" w:cs="Aptos"/>
                <w:color w:val="000000" w:themeColor="text1"/>
                <w:sz w:val="22"/>
                <w:szCs w:val="22"/>
              </w:rPr>
              <w:t>Medicaid patient adherence significantly improved while receiving community pharmacist</w:t>
            </w:r>
            <w:r w:rsidR="608C1A18" w:rsidRPr="42CBEEE6">
              <w:rPr>
                <w:rFonts w:ascii="Aptos" w:eastAsia="Aptos" w:hAnsi="Aptos" w:cs="Aptos"/>
                <w:color w:val="000000" w:themeColor="text1"/>
                <w:sz w:val="22"/>
                <w:szCs w:val="22"/>
              </w:rPr>
              <w:t xml:space="preserve"> </w:t>
            </w:r>
            <w:r w:rsidRPr="42CBEEE6">
              <w:rPr>
                <w:rFonts w:ascii="Aptos" w:eastAsia="Aptos" w:hAnsi="Aptos" w:cs="Aptos"/>
                <w:color w:val="000000" w:themeColor="text1"/>
                <w:sz w:val="22"/>
                <w:szCs w:val="22"/>
              </w:rPr>
              <w:t>provided adherence services as part of a Medicaid MCO pay</w:t>
            </w:r>
            <w:r w:rsidR="0502AAA8" w:rsidRPr="42CBEEE6">
              <w:rPr>
                <w:rFonts w:ascii="Aptos" w:eastAsia="Aptos" w:hAnsi="Aptos" w:cs="Aptos"/>
                <w:color w:val="000000" w:themeColor="text1"/>
                <w:sz w:val="22"/>
                <w:szCs w:val="22"/>
              </w:rPr>
              <w:t>o</w:t>
            </w:r>
            <w:r w:rsidRPr="42CBEEE6">
              <w:rPr>
                <w:rFonts w:ascii="Aptos" w:eastAsia="Aptos" w:hAnsi="Aptos" w:cs="Aptos"/>
                <w:color w:val="000000" w:themeColor="text1"/>
                <w:sz w:val="22"/>
                <w:szCs w:val="22"/>
              </w:rPr>
              <w:t xml:space="preserve">r program. </w:t>
            </w:r>
          </w:p>
          <w:p w14:paraId="3CEC6136" w14:textId="51EEC3B2" w:rsidR="00935D99" w:rsidRPr="00EE22F5" w:rsidRDefault="5AE15527" w:rsidP="42CBEEE6">
            <w:pPr>
              <w:pStyle w:val="ListParagraph"/>
              <w:numPr>
                <w:ilvl w:val="0"/>
                <w:numId w:val="1"/>
              </w:numPr>
              <w:rPr>
                <w:rFonts w:ascii="Aptos" w:eastAsia="Aptos" w:hAnsi="Aptos" w:cs="Aptos"/>
                <w:color w:val="000000" w:themeColor="text1"/>
                <w:sz w:val="22"/>
                <w:szCs w:val="22"/>
              </w:rPr>
            </w:pPr>
            <w:r w:rsidRPr="42CBEEE6">
              <w:rPr>
                <w:rFonts w:ascii="Aptos" w:eastAsia="Aptos" w:hAnsi="Aptos" w:cs="Aptos"/>
                <w:color w:val="000000" w:themeColor="text1"/>
                <w:sz w:val="22"/>
                <w:szCs w:val="22"/>
              </w:rPr>
              <w:t xml:space="preserve">Pharmacists were able to provide and be reimbursed for both naloxone and COVID-19 vaccine services through this payor program. </w:t>
            </w:r>
          </w:p>
          <w:p w14:paraId="27C20C65" w14:textId="65CE6A09" w:rsidR="00935D99" w:rsidRPr="00EE22F5" w:rsidRDefault="5AE15527" w:rsidP="4C711055">
            <w:pPr>
              <w:pStyle w:val="ListParagraph"/>
              <w:numPr>
                <w:ilvl w:val="0"/>
                <w:numId w:val="1"/>
              </w:numPr>
              <w:rPr>
                <w:rFonts w:ascii="Aptos" w:eastAsia="Aptos" w:hAnsi="Aptos" w:cs="Aptos"/>
                <w:color w:val="000000" w:themeColor="text1"/>
                <w:sz w:val="22"/>
                <w:szCs w:val="22"/>
              </w:rPr>
            </w:pPr>
            <w:r w:rsidRPr="4C711055">
              <w:rPr>
                <w:rFonts w:ascii="Aptos" w:eastAsia="Aptos" w:hAnsi="Aptos" w:cs="Aptos"/>
                <w:color w:val="000000" w:themeColor="text1"/>
                <w:sz w:val="22"/>
                <w:szCs w:val="22"/>
              </w:rPr>
              <w:t xml:space="preserve">There is value in obtaining claims data from payors to evaluate community pharmacy-based programs. The development of a </w:t>
            </w:r>
            <w:r w:rsidR="3AC5C37B" w:rsidRPr="4C711055">
              <w:rPr>
                <w:rFonts w:ascii="Aptos" w:eastAsia="Aptos" w:hAnsi="Aptos" w:cs="Aptos"/>
                <w:color w:val="000000" w:themeColor="text1"/>
                <w:sz w:val="22"/>
                <w:szCs w:val="22"/>
              </w:rPr>
              <w:t xml:space="preserve">Resource </w:t>
            </w:r>
            <w:r w:rsidRPr="4C711055">
              <w:rPr>
                <w:rFonts w:ascii="Aptos" w:eastAsia="Aptos" w:hAnsi="Aptos" w:cs="Aptos"/>
                <w:color w:val="000000" w:themeColor="text1"/>
                <w:sz w:val="22"/>
                <w:szCs w:val="22"/>
              </w:rPr>
              <w:t xml:space="preserve">Guide </w:t>
            </w:r>
            <w:r w:rsidR="0EAD4A35" w:rsidRPr="4C711055">
              <w:rPr>
                <w:rFonts w:ascii="Aptos" w:eastAsia="Aptos" w:hAnsi="Aptos" w:cs="Aptos"/>
                <w:color w:val="000000" w:themeColor="text1"/>
                <w:sz w:val="22"/>
                <w:szCs w:val="22"/>
              </w:rPr>
              <w:t>explaining</w:t>
            </w:r>
            <w:r w:rsidRPr="4C711055">
              <w:rPr>
                <w:rFonts w:ascii="Aptos" w:eastAsia="Aptos" w:hAnsi="Aptos" w:cs="Aptos"/>
                <w:color w:val="000000" w:themeColor="text1"/>
                <w:sz w:val="22"/>
                <w:szCs w:val="22"/>
              </w:rPr>
              <w:t xml:space="preserve"> this process may be used by other </w:t>
            </w:r>
            <w:r w:rsidR="25B350E9" w:rsidRPr="4C711055">
              <w:rPr>
                <w:rFonts w:ascii="Aptos" w:eastAsia="Aptos" w:hAnsi="Aptos" w:cs="Aptos"/>
                <w:color w:val="000000" w:themeColor="text1"/>
                <w:sz w:val="22"/>
                <w:szCs w:val="22"/>
              </w:rPr>
              <w:t xml:space="preserve">pharmacy networks to </w:t>
            </w:r>
            <w:r w:rsidR="59F91CCD" w:rsidRPr="4C711055">
              <w:rPr>
                <w:rFonts w:ascii="Aptos" w:eastAsia="Aptos" w:hAnsi="Aptos" w:cs="Aptos"/>
                <w:color w:val="000000" w:themeColor="text1"/>
                <w:sz w:val="22"/>
                <w:szCs w:val="22"/>
              </w:rPr>
              <w:t>evaluate their own programs</w:t>
            </w:r>
            <w:r w:rsidR="0E0A2236" w:rsidRPr="4C711055">
              <w:rPr>
                <w:rFonts w:ascii="Aptos" w:eastAsia="Aptos" w:hAnsi="Aptos" w:cs="Aptos"/>
                <w:color w:val="000000" w:themeColor="text1"/>
                <w:sz w:val="22"/>
                <w:szCs w:val="22"/>
              </w:rPr>
              <w:t xml:space="preserve"> and demonstrate the value of pharmacist services.</w:t>
            </w:r>
          </w:p>
        </w:tc>
      </w:tr>
    </w:tbl>
    <w:p w14:paraId="07FCC153" w14:textId="77777777" w:rsidR="001D22E2" w:rsidRDefault="001D22E2" w:rsidP="00BC1C4E"/>
    <w:sectPr w:rsidR="001D22E2" w:rsidSect="00D10FEC">
      <w:footerReference w:type="default" r:id="rId10"/>
      <w:pgSz w:w="12240" w:h="15840" w:code="1"/>
      <w:pgMar w:top="1080" w:right="720" w:bottom="360" w:left="720"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29E7" w14:textId="77777777" w:rsidR="00AE6113" w:rsidRDefault="00AE6113">
      <w:r>
        <w:separator/>
      </w:r>
    </w:p>
  </w:endnote>
  <w:endnote w:type="continuationSeparator" w:id="0">
    <w:p w14:paraId="5ECCC94F" w14:textId="77777777" w:rsidR="00AE6113" w:rsidRDefault="00A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5F55" w14:textId="77777777" w:rsidR="00CD6AF6" w:rsidRPr="008246C5" w:rsidRDefault="00CD6AF6" w:rsidP="00D10FEC">
    <w:pPr>
      <w:pStyle w:val="Footer"/>
      <w:jc w:val="center"/>
      <w:rPr>
        <w:rFonts w:ascii="Calibri" w:hAnsi="Calibri"/>
        <w:sz w:val="22"/>
        <w:szCs w:val="22"/>
      </w:rPr>
    </w:pPr>
    <w:r w:rsidRPr="008246C5">
      <w:rPr>
        <w:rFonts w:ascii="Calibri" w:hAnsi="Calibri"/>
        <w:sz w:val="22"/>
        <w:szCs w:val="22"/>
      </w:rPr>
      <w:t>For further information and/or materials on this grant, please visit</w:t>
    </w:r>
  </w:p>
  <w:p w14:paraId="122A2722" w14:textId="77777777" w:rsidR="00D10FEC" w:rsidRPr="00B23734" w:rsidRDefault="00055221" w:rsidP="00D10FEC">
    <w:pPr>
      <w:pStyle w:val="Footer"/>
      <w:jc w:val="right"/>
      <w:rPr>
        <w:rFonts w:ascii="Raleway" w:hAnsi="Raleway"/>
        <w:sz w:val="18"/>
        <w:szCs w:val="18"/>
      </w:rPr>
    </w:pPr>
    <w:hyperlink r:id="rId1" w:history="1">
      <w:r w:rsidRPr="00C84CC4">
        <w:rPr>
          <w:rStyle w:val="Hyperlink"/>
          <w:rFonts w:ascii="Calibri" w:hAnsi="Calibri"/>
          <w:b/>
          <w:sz w:val="22"/>
          <w:szCs w:val="22"/>
        </w:rPr>
        <w:t>www.CommunityPharmacyFoundation.org</w:t>
      </w:r>
    </w:hyperlink>
    <w:r>
      <w:rPr>
        <w:rFonts w:ascii="Calibri" w:hAnsi="Calibri"/>
        <w:b/>
        <w:sz w:val="22"/>
        <w:szCs w:val="22"/>
      </w:rPr>
      <w:t xml:space="preserve"> </w:t>
    </w:r>
    <w:r w:rsidR="00CD6AF6" w:rsidRPr="008246C5">
      <w:rPr>
        <w:rFonts w:ascii="Calibri" w:hAnsi="Calibri"/>
        <w:sz w:val="22"/>
        <w:szCs w:val="22"/>
      </w:rPr>
      <w:t xml:space="preserve">and submit your inquiry through </w:t>
    </w:r>
    <w:hyperlink r:id="rId2" w:history="1">
      <w:proofErr w:type="spellStart"/>
      <w:r w:rsidR="00CD6AF6" w:rsidRPr="008246C5">
        <w:rPr>
          <w:rStyle w:val="Hyperlink"/>
          <w:rFonts w:ascii="Calibri" w:hAnsi="Calibri"/>
          <w:b/>
          <w:sz w:val="22"/>
          <w:szCs w:val="22"/>
        </w:rPr>
        <w:t>Contact_Us</w:t>
      </w:r>
      <w:proofErr w:type="spellEnd"/>
    </w:hyperlink>
    <w:r w:rsidR="00CD6AF6" w:rsidRPr="008246C5">
      <w:rPr>
        <w:rFonts w:ascii="Calibri" w:hAnsi="Calibri"/>
        <w:sz w:val="22"/>
        <w:szCs w:val="22"/>
      </w:rPr>
      <w:t>.</w:t>
    </w:r>
    <w:r w:rsidR="00D10FEC">
      <w:rPr>
        <w:rFonts w:ascii="Calibri" w:hAnsi="Calibri"/>
        <w:sz w:val="22"/>
        <w:szCs w:val="22"/>
      </w:rPr>
      <w:tab/>
      <w:t xml:space="preserve">           </w:t>
    </w:r>
    <w:r w:rsidR="00D10FEC" w:rsidRPr="00D10FEC">
      <w:rPr>
        <w:rFonts w:ascii="Raleway" w:hAnsi="Raleway"/>
        <w:sz w:val="18"/>
        <w:szCs w:val="18"/>
      </w:rPr>
      <w:t xml:space="preserve"> </w:t>
    </w:r>
    <w:proofErr w:type="spellStart"/>
    <w:r w:rsidR="00935D99">
      <w:rPr>
        <w:rFonts w:ascii="Raleway" w:hAnsi="Raleway"/>
        <w:sz w:val="18"/>
        <w:szCs w:val="18"/>
      </w:rPr>
      <w:t>xxxx</w:t>
    </w:r>
    <w:r w:rsidR="00D10FEC" w:rsidRPr="00B23734">
      <w:rPr>
        <w:rFonts w:ascii="Raleway" w:hAnsi="Raleway"/>
        <w:sz w:val="18"/>
        <w:szCs w:val="18"/>
      </w:rPr>
      <w:t>|</w:t>
    </w:r>
    <w:r w:rsidR="00935D99">
      <w:rPr>
        <w:rFonts w:ascii="Raleway" w:hAnsi="Raleway"/>
        <w:sz w:val="18"/>
        <w:szCs w:val="18"/>
      </w:rPr>
      <w:t>xxx</w:t>
    </w:r>
    <w:proofErr w:type="spellEnd"/>
  </w:p>
  <w:p w14:paraId="762C025D" w14:textId="77777777" w:rsidR="005A2C3C" w:rsidRDefault="005A2C3C" w:rsidP="00D10FEC">
    <w:pPr>
      <w:pStyle w:val="Footer"/>
      <w:rPr>
        <w:rFonts w:ascii="Bell MT" w:hAnsi="Bell MT"/>
        <w:sz w:val="18"/>
        <w:szCs w:val="18"/>
      </w:rPr>
    </w:pPr>
  </w:p>
  <w:p w14:paraId="1163A0C6" w14:textId="77777777" w:rsidR="005A2C3C" w:rsidRPr="005A2C3C" w:rsidRDefault="005A2C3C" w:rsidP="005A2C3C">
    <w:pPr>
      <w:pStyle w:val="Footer"/>
      <w:jc w:val="right"/>
      <w:rPr>
        <w:rFonts w:ascii="Bell MT" w:hAnsi="Bell M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3EB2" w14:textId="77777777" w:rsidR="00AE6113" w:rsidRDefault="00AE6113">
      <w:r>
        <w:separator/>
      </w:r>
    </w:p>
  </w:footnote>
  <w:footnote w:type="continuationSeparator" w:id="0">
    <w:p w14:paraId="410614C1" w14:textId="77777777" w:rsidR="00AE6113" w:rsidRDefault="00A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533"/>
    <w:multiLevelType w:val="hybridMultilevel"/>
    <w:tmpl w:val="05B097CA"/>
    <w:lvl w:ilvl="0" w:tplc="BFEC4F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C6765"/>
    <w:multiLevelType w:val="hybridMultilevel"/>
    <w:tmpl w:val="705E2752"/>
    <w:lvl w:ilvl="0" w:tplc="BFEC4F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26708"/>
    <w:multiLevelType w:val="hybridMultilevel"/>
    <w:tmpl w:val="B254B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70866"/>
    <w:multiLevelType w:val="hybridMultilevel"/>
    <w:tmpl w:val="CB029EA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D20BDA"/>
    <w:multiLevelType w:val="hybridMultilevel"/>
    <w:tmpl w:val="B65A5056"/>
    <w:lvl w:ilvl="0" w:tplc="83248620">
      <w:start w:val="1"/>
      <w:numFmt w:val="bullet"/>
      <w:lvlText w:val=""/>
      <w:lvlJc w:val="left"/>
      <w:pPr>
        <w:ind w:left="360" w:hanging="360"/>
      </w:pPr>
      <w:rPr>
        <w:rFonts w:ascii="Symbol" w:hAnsi="Symbol" w:hint="default"/>
      </w:rPr>
    </w:lvl>
    <w:lvl w:ilvl="1" w:tplc="E06084E2">
      <w:start w:val="1"/>
      <w:numFmt w:val="bullet"/>
      <w:lvlText w:val="o"/>
      <w:lvlJc w:val="left"/>
      <w:pPr>
        <w:ind w:left="1080" w:hanging="360"/>
      </w:pPr>
      <w:rPr>
        <w:rFonts w:ascii="Courier New" w:hAnsi="Courier New" w:hint="default"/>
      </w:rPr>
    </w:lvl>
    <w:lvl w:ilvl="2" w:tplc="5086934E">
      <w:start w:val="1"/>
      <w:numFmt w:val="bullet"/>
      <w:lvlText w:val=""/>
      <w:lvlJc w:val="left"/>
      <w:pPr>
        <w:ind w:left="1800" w:hanging="360"/>
      </w:pPr>
      <w:rPr>
        <w:rFonts w:ascii="Wingdings" w:hAnsi="Wingdings" w:hint="default"/>
      </w:rPr>
    </w:lvl>
    <w:lvl w:ilvl="3" w:tplc="8B0263C4">
      <w:start w:val="1"/>
      <w:numFmt w:val="bullet"/>
      <w:lvlText w:val=""/>
      <w:lvlJc w:val="left"/>
      <w:pPr>
        <w:ind w:left="2520" w:hanging="360"/>
      </w:pPr>
      <w:rPr>
        <w:rFonts w:ascii="Symbol" w:hAnsi="Symbol" w:hint="default"/>
      </w:rPr>
    </w:lvl>
    <w:lvl w:ilvl="4" w:tplc="B99C1028">
      <w:start w:val="1"/>
      <w:numFmt w:val="bullet"/>
      <w:lvlText w:val="o"/>
      <w:lvlJc w:val="left"/>
      <w:pPr>
        <w:ind w:left="3240" w:hanging="360"/>
      </w:pPr>
      <w:rPr>
        <w:rFonts w:ascii="Courier New" w:hAnsi="Courier New" w:hint="default"/>
      </w:rPr>
    </w:lvl>
    <w:lvl w:ilvl="5" w:tplc="2D1E1C96">
      <w:start w:val="1"/>
      <w:numFmt w:val="bullet"/>
      <w:lvlText w:val=""/>
      <w:lvlJc w:val="left"/>
      <w:pPr>
        <w:ind w:left="3960" w:hanging="360"/>
      </w:pPr>
      <w:rPr>
        <w:rFonts w:ascii="Wingdings" w:hAnsi="Wingdings" w:hint="default"/>
      </w:rPr>
    </w:lvl>
    <w:lvl w:ilvl="6" w:tplc="FD58B42A">
      <w:start w:val="1"/>
      <w:numFmt w:val="bullet"/>
      <w:lvlText w:val=""/>
      <w:lvlJc w:val="left"/>
      <w:pPr>
        <w:ind w:left="4680" w:hanging="360"/>
      </w:pPr>
      <w:rPr>
        <w:rFonts w:ascii="Symbol" w:hAnsi="Symbol" w:hint="default"/>
      </w:rPr>
    </w:lvl>
    <w:lvl w:ilvl="7" w:tplc="2F7E398E">
      <w:start w:val="1"/>
      <w:numFmt w:val="bullet"/>
      <w:lvlText w:val="o"/>
      <w:lvlJc w:val="left"/>
      <w:pPr>
        <w:ind w:left="5400" w:hanging="360"/>
      </w:pPr>
      <w:rPr>
        <w:rFonts w:ascii="Courier New" w:hAnsi="Courier New" w:hint="default"/>
      </w:rPr>
    </w:lvl>
    <w:lvl w:ilvl="8" w:tplc="710EB772">
      <w:start w:val="1"/>
      <w:numFmt w:val="bullet"/>
      <w:lvlText w:val=""/>
      <w:lvlJc w:val="left"/>
      <w:pPr>
        <w:ind w:left="6120" w:hanging="360"/>
      </w:pPr>
      <w:rPr>
        <w:rFonts w:ascii="Wingdings" w:hAnsi="Wingdings" w:hint="default"/>
      </w:rPr>
    </w:lvl>
  </w:abstractNum>
  <w:abstractNum w:abstractNumId="5" w15:restartNumberingAfterBreak="0">
    <w:nsid w:val="0D6D52C5"/>
    <w:multiLevelType w:val="hybridMultilevel"/>
    <w:tmpl w:val="A4C49E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67828"/>
    <w:multiLevelType w:val="multilevel"/>
    <w:tmpl w:val="5DDAE9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23C4F"/>
    <w:multiLevelType w:val="hybridMultilevel"/>
    <w:tmpl w:val="B28AEB50"/>
    <w:lvl w:ilvl="0" w:tplc="BFEC4F74">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F406F"/>
    <w:multiLevelType w:val="hybridMultilevel"/>
    <w:tmpl w:val="27A0AABE"/>
    <w:lvl w:ilvl="0" w:tplc="BE72C9AA">
      <w:start w:val="1"/>
      <w:numFmt w:val="bullet"/>
      <w:lvlText w:val=""/>
      <w:lvlJc w:val="left"/>
      <w:pPr>
        <w:tabs>
          <w:tab w:val="num" w:pos="360"/>
        </w:tabs>
        <w:ind w:left="432"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B138E"/>
    <w:multiLevelType w:val="multilevel"/>
    <w:tmpl w:val="29C493D0"/>
    <w:lvl w:ilvl="0">
      <w:start w:val="1"/>
      <w:numFmt w:val="bullet"/>
      <w:lvlText w:val=""/>
      <w:lvlJc w:val="left"/>
      <w:pPr>
        <w:tabs>
          <w:tab w:val="num" w:pos="720"/>
        </w:tabs>
        <w:ind w:left="720" w:hanging="648"/>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C3092"/>
    <w:multiLevelType w:val="hybridMultilevel"/>
    <w:tmpl w:val="1AF81A9A"/>
    <w:lvl w:ilvl="0" w:tplc="BE72C9AA">
      <w:start w:val="1"/>
      <w:numFmt w:val="bullet"/>
      <w:lvlText w:val=""/>
      <w:lvlJc w:val="left"/>
      <w:pPr>
        <w:tabs>
          <w:tab w:val="num" w:pos="360"/>
        </w:tabs>
        <w:ind w:left="432" w:hanging="360"/>
      </w:pPr>
      <w:rPr>
        <w:rFonts w:ascii="Symbol" w:hAnsi="Symbol" w:hint="default"/>
        <w:sz w:val="16"/>
        <w:szCs w:val="16"/>
      </w:rPr>
    </w:lvl>
    <w:lvl w:ilvl="1" w:tplc="1958A44C">
      <w:start w:val="1"/>
      <w:numFmt w:val="bullet"/>
      <w:lvlText w:val="-"/>
      <w:lvlJc w:val="left"/>
      <w:pPr>
        <w:tabs>
          <w:tab w:val="num" w:pos="720"/>
        </w:tabs>
        <w:ind w:left="720" w:hanging="360"/>
      </w:pPr>
      <w:rPr>
        <w:rFonts w:ascii="Courier New" w:hAnsi="Courier New"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27A27"/>
    <w:multiLevelType w:val="hybridMultilevel"/>
    <w:tmpl w:val="1584C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DC4FE1"/>
    <w:multiLevelType w:val="multilevel"/>
    <w:tmpl w:val="B254B8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C4263"/>
    <w:multiLevelType w:val="hybridMultilevel"/>
    <w:tmpl w:val="29C493D0"/>
    <w:lvl w:ilvl="0" w:tplc="0EF2D0D0">
      <w:start w:val="1"/>
      <w:numFmt w:val="bullet"/>
      <w:lvlText w:val=""/>
      <w:lvlJc w:val="left"/>
      <w:pPr>
        <w:tabs>
          <w:tab w:val="num" w:pos="720"/>
        </w:tabs>
        <w:ind w:left="720" w:hanging="64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2B11E"/>
    <w:multiLevelType w:val="hybridMultilevel"/>
    <w:tmpl w:val="C1987056"/>
    <w:lvl w:ilvl="0" w:tplc="EF36AAFE">
      <w:start w:val="1"/>
      <w:numFmt w:val="bullet"/>
      <w:lvlText w:val=""/>
      <w:lvlJc w:val="left"/>
      <w:pPr>
        <w:ind w:left="720" w:hanging="360"/>
      </w:pPr>
      <w:rPr>
        <w:rFonts w:ascii="Symbol" w:hAnsi="Symbol" w:hint="default"/>
      </w:rPr>
    </w:lvl>
    <w:lvl w:ilvl="1" w:tplc="79C27116">
      <w:start w:val="1"/>
      <w:numFmt w:val="bullet"/>
      <w:lvlText w:val="o"/>
      <w:lvlJc w:val="left"/>
      <w:pPr>
        <w:ind w:left="1440" w:hanging="360"/>
      </w:pPr>
      <w:rPr>
        <w:rFonts w:ascii="Courier New" w:hAnsi="Courier New" w:hint="default"/>
      </w:rPr>
    </w:lvl>
    <w:lvl w:ilvl="2" w:tplc="BBE6FBFE">
      <w:start w:val="1"/>
      <w:numFmt w:val="bullet"/>
      <w:lvlText w:val=""/>
      <w:lvlJc w:val="left"/>
      <w:pPr>
        <w:ind w:left="2160" w:hanging="360"/>
      </w:pPr>
      <w:rPr>
        <w:rFonts w:ascii="Wingdings" w:hAnsi="Wingdings" w:hint="default"/>
      </w:rPr>
    </w:lvl>
    <w:lvl w:ilvl="3" w:tplc="CC72C434">
      <w:start w:val="1"/>
      <w:numFmt w:val="bullet"/>
      <w:lvlText w:val=""/>
      <w:lvlJc w:val="left"/>
      <w:pPr>
        <w:ind w:left="2880" w:hanging="360"/>
      </w:pPr>
      <w:rPr>
        <w:rFonts w:ascii="Symbol" w:hAnsi="Symbol" w:hint="default"/>
      </w:rPr>
    </w:lvl>
    <w:lvl w:ilvl="4" w:tplc="998277AC">
      <w:start w:val="1"/>
      <w:numFmt w:val="bullet"/>
      <w:lvlText w:val="o"/>
      <w:lvlJc w:val="left"/>
      <w:pPr>
        <w:ind w:left="3600" w:hanging="360"/>
      </w:pPr>
      <w:rPr>
        <w:rFonts w:ascii="Courier New" w:hAnsi="Courier New" w:hint="default"/>
      </w:rPr>
    </w:lvl>
    <w:lvl w:ilvl="5" w:tplc="8228ABEA">
      <w:start w:val="1"/>
      <w:numFmt w:val="bullet"/>
      <w:lvlText w:val=""/>
      <w:lvlJc w:val="left"/>
      <w:pPr>
        <w:ind w:left="4320" w:hanging="360"/>
      </w:pPr>
      <w:rPr>
        <w:rFonts w:ascii="Wingdings" w:hAnsi="Wingdings" w:hint="default"/>
      </w:rPr>
    </w:lvl>
    <w:lvl w:ilvl="6" w:tplc="D7F2FC2C">
      <w:start w:val="1"/>
      <w:numFmt w:val="bullet"/>
      <w:lvlText w:val=""/>
      <w:lvlJc w:val="left"/>
      <w:pPr>
        <w:ind w:left="5040" w:hanging="360"/>
      </w:pPr>
      <w:rPr>
        <w:rFonts w:ascii="Symbol" w:hAnsi="Symbol" w:hint="default"/>
      </w:rPr>
    </w:lvl>
    <w:lvl w:ilvl="7" w:tplc="C884E63E">
      <w:start w:val="1"/>
      <w:numFmt w:val="bullet"/>
      <w:lvlText w:val="o"/>
      <w:lvlJc w:val="left"/>
      <w:pPr>
        <w:ind w:left="5760" w:hanging="360"/>
      </w:pPr>
      <w:rPr>
        <w:rFonts w:ascii="Courier New" w:hAnsi="Courier New" w:hint="default"/>
      </w:rPr>
    </w:lvl>
    <w:lvl w:ilvl="8" w:tplc="7FCE87AA">
      <w:start w:val="1"/>
      <w:numFmt w:val="bullet"/>
      <w:lvlText w:val=""/>
      <w:lvlJc w:val="left"/>
      <w:pPr>
        <w:ind w:left="6480" w:hanging="360"/>
      </w:pPr>
      <w:rPr>
        <w:rFonts w:ascii="Wingdings" w:hAnsi="Wingdings" w:hint="default"/>
      </w:rPr>
    </w:lvl>
  </w:abstractNum>
  <w:abstractNum w:abstractNumId="15" w15:restartNumberingAfterBreak="0">
    <w:nsid w:val="35803BB7"/>
    <w:multiLevelType w:val="multilevel"/>
    <w:tmpl w:val="21C8382A"/>
    <w:lvl w:ilvl="0">
      <w:start w:val="1"/>
      <w:numFmt w:val="bullet"/>
      <w:lvlText w:val=""/>
      <w:lvlJc w:val="left"/>
      <w:pPr>
        <w:tabs>
          <w:tab w:val="num" w:pos="360"/>
        </w:tabs>
        <w:ind w:left="432"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76527"/>
    <w:multiLevelType w:val="hybridMultilevel"/>
    <w:tmpl w:val="CC7E83AE"/>
    <w:lvl w:ilvl="0" w:tplc="4AFE77B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8015C2"/>
    <w:multiLevelType w:val="hybridMultilevel"/>
    <w:tmpl w:val="BDFCE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1E17C5"/>
    <w:multiLevelType w:val="hybridMultilevel"/>
    <w:tmpl w:val="1FB6EBA2"/>
    <w:lvl w:ilvl="0" w:tplc="BE72C9AA">
      <w:start w:val="1"/>
      <w:numFmt w:val="bullet"/>
      <w:lvlText w:val=""/>
      <w:lvlJc w:val="left"/>
      <w:pPr>
        <w:tabs>
          <w:tab w:val="num" w:pos="288"/>
        </w:tabs>
        <w:ind w:left="360" w:hanging="360"/>
      </w:pPr>
      <w:rPr>
        <w:rFonts w:ascii="Symbol" w:hAnsi="Symbol" w:hint="default"/>
        <w:sz w:val="16"/>
        <w:szCs w:val="16"/>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9" w15:restartNumberingAfterBreak="0">
    <w:nsid w:val="64E979F9"/>
    <w:multiLevelType w:val="hybridMultilevel"/>
    <w:tmpl w:val="21C8382A"/>
    <w:lvl w:ilvl="0" w:tplc="BE72C9AA">
      <w:start w:val="1"/>
      <w:numFmt w:val="bullet"/>
      <w:lvlText w:val=""/>
      <w:lvlJc w:val="left"/>
      <w:pPr>
        <w:tabs>
          <w:tab w:val="num" w:pos="360"/>
        </w:tabs>
        <w:ind w:left="432"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236C5"/>
    <w:multiLevelType w:val="hybridMultilevel"/>
    <w:tmpl w:val="E8D82D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A7229F"/>
    <w:multiLevelType w:val="hybridMultilevel"/>
    <w:tmpl w:val="EB5CB922"/>
    <w:lvl w:ilvl="0" w:tplc="BE72C9AA">
      <w:start w:val="1"/>
      <w:numFmt w:val="bullet"/>
      <w:lvlText w:val=""/>
      <w:lvlJc w:val="left"/>
      <w:pPr>
        <w:tabs>
          <w:tab w:val="num" w:pos="360"/>
        </w:tabs>
        <w:ind w:left="432"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344FB7"/>
    <w:multiLevelType w:val="hybridMultilevel"/>
    <w:tmpl w:val="C7AA7AC0"/>
    <w:lvl w:ilvl="0" w:tplc="BE72C9AA">
      <w:start w:val="1"/>
      <w:numFmt w:val="bullet"/>
      <w:lvlText w:val=""/>
      <w:lvlJc w:val="left"/>
      <w:pPr>
        <w:tabs>
          <w:tab w:val="num" w:pos="360"/>
        </w:tabs>
        <w:ind w:left="432" w:hanging="360"/>
      </w:pPr>
      <w:rPr>
        <w:rFonts w:ascii="Symbol" w:hAnsi="Symbol" w:hint="default"/>
        <w:sz w:val="16"/>
        <w:szCs w:val="16"/>
      </w:rPr>
    </w:lvl>
    <w:lvl w:ilvl="1" w:tplc="E5300930">
      <w:start w:val="1"/>
      <w:numFmt w:val="bullet"/>
      <w:lvlText w:val="-"/>
      <w:lvlJc w:val="left"/>
      <w:pPr>
        <w:tabs>
          <w:tab w:val="num" w:pos="576"/>
        </w:tabs>
        <w:ind w:left="576" w:hanging="216"/>
      </w:pPr>
      <w:rPr>
        <w:rFonts w:ascii="Courier New" w:hAnsi="Courier New"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016918"/>
    <w:multiLevelType w:val="hybridMultilevel"/>
    <w:tmpl w:val="5DDAE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633C2B"/>
    <w:multiLevelType w:val="multilevel"/>
    <w:tmpl w:val="1AF81A9A"/>
    <w:lvl w:ilvl="0">
      <w:start w:val="1"/>
      <w:numFmt w:val="bullet"/>
      <w:lvlText w:val=""/>
      <w:lvlJc w:val="left"/>
      <w:pPr>
        <w:tabs>
          <w:tab w:val="num" w:pos="360"/>
        </w:tabs>
        <w:ind w:left="432" w:hanging="360"/>
      </w:pPr>
      <w:rPr>
        <w:rFonts w:ascii="Symbol" w:hAnsi="Symbol" w:hint="default"/>
        <w:sz w:val="16"/>
        <w:szCs w:val="16"/>
      </w:rPr>
    </w:lvl>
    <w:lvl w:ilvl="1">
      <w:start w:val="1"/>
      <w:numFmt w:val="bullet"/>
      <w:lvlText w:val="-"/>
      <w:lvlJc w:val="left"/>
      <w:pPr>
        <w:tabs>
          <w:tab w:val="num" w:pos="720"/>
        </w:tabs>
        <w:ind w:left="720" w:hanging="360"/>
      </w:pPr>
      <w:rPr>
        <w:rFonts w:ascii="Courier New" w:hAnsi="Courier New"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4052607">
    <w:abstractNumId w:val="14"/>
  </w:num>
  <w:num w:numId="2" w16cid:durableId="1112431034">
    <w:abstractNumId w:val="4"/>
  </w:num>
  <w:num w:numId="3" w16cid:durableId="1045562879">
    <w:abstractNumId w:val="2"/>
  </w:num>
  <w:num w:numId="4" w16cid:durableId="1749573173">
    <w:abstractNumId w:val="12"/>
  </w:num>
  <w:num w:numId="5" w16cid:durableId="83309679">
    <w:abstractNumId w:val="13"/>
  </w:num>
  <w:num w:numId="6" w16cid:durableId="2034920534">
    <w:abstractNumId w:val="9"/>
  </w:num>
  <w:num w:numId="7" w16cid:durableId="387730113">
    <w:abstractNumId w:val="19"/>
  </w:num>
  <w:num w:numId="8" w16cid:durableId="1604261171">
    <w:abstractNumId w:val="8"/>
  </w:num>
  <w:num w:numId="9" w16cid:durableId="1450540333">
    <w:abstractNumId w:val="21"/>
  </w:num>
  <w:num w:numId="10" w16cid:durableId="1257593718">
    <w:abstractNumId w:val="18"/>
  </w:num>
  <w:num w:numId="11" w16cid:durableId="1686977602">
    <w:abstractNumId w:val="11"/>
  </w:num>
  <w:num w:numId="12" w16cid:durableId="561018202">
    <w:abstractNumId w:val="20"/>
  </w:num>
  <w:num w:numId="13" w16cid:durableId="775559773">
    <w:abstractNumId w:val="3"/>
  </w:num>
  <w:num w:numId="14" w16cid:durableId="2115132756">
    <w:abstractNumId w:val="15"/>
  </w:num>
  <w:num w:numId="15" w16cid:durableId="1351449475">
    <w:abstractNumId w:val="10"/>
  </w:num>
  <w:num w:numId="16" w16cid:durableId="2111123083">
    <w:abstractNumId w:val="24"/>
  </w:num>
  <w:num w:numId="17" w16cid:durableId="1298032471">
    <w:abstractNumId w:val="22"/>
  </w:num>
  <w:num w:numId="18" w16cid:durableId="1109667733">
    <w:abstractNumId w:val="23"/>
  </w:num>
  <w:num w:numId="19" w16cid:durableId="111902275">
    <w:abstractNumId w:val="6"/>
  </w:num>
  <w:num w:numId="20" w16cid:durableId="840851977">
    <w:abstractNumId w:val="16"/>
  </w:num>
  <w:num w:numId="21" w16cid:durableId="1347824906">
    <w:abstractNumId w:val="5"/>
  </w:num>
  <w:num w:numId="22" w16cid:durableId="1012609420">
    <w:abstractNumId w:val="0"/>
  </w:num>
  <w:num w:numId="23" w16cid:durableId="1457140045">
    <w:abstractNumId w:val="1"/>
  </w:num>
  <w:num w:numId="24" w16cid:durableId="1843547071">
    <w:abstractNumId w:val="7"/>
  </w:num>
  <w:num w:numId="25" w16cid:durableId="1480027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E2"/>
    <w:rsid w:val="00032C31"/>
    <w:rsid w:val="00055221"/>
    <w:rsid w:val="000C1165"/>
    <w:rsid w:val="000E2EBE"/>
    <w:rsid w:val="00114AAE"/>
    <w:rsid w:val="00134A33"/>
    <w:rsid w:val="001D22E2"/>
    <w:rsid w:val="001F0447"/>
    <w:rsid w:val="00211BB5"/>
    <w:rsid w:val="002139C6"/>
    <w:rsid w:val="00215E53"/>
    <w:rsid w:val="00262F3D"/>
    <w:rsid w:val="0027FBD9"/>
    <w:rsid w:val="002879B1"/>
    <w:rsid w:val="002D59AC"/>
    <w:rsid w:val="003E0A6C"/>
    <w:rsid w:val="00400813"/>
    <w:rsid w:val="00463968"/>
    <w:rsid w:val="00470A80"/>
    <w:rsid w:val="00490328"/>
    <w:rsid w:val="004E517E"/>
    <w:rsid w:val="004F1EB3"/>
    <w:rsid w:val="004F4DA1"/>
    <w:rsid w:val="0050448B"/>
    <w:rsid w:val="005175DA"/>
    <w:rsid w:val="0052182A"/>
    <w:rsid w:val="005435DF"/>
    <w:rsid w:val="00555EC9"/>
    <w:rsid w:val="0058677E"/>
    <w:rsid w:val="005A2C3C"/>
    <w:rsid w:val="005B5C0A"/>
    <w:rsid w:val="005C6899"/>
    <w:rsid w:val="005E62C2"/>
    <w:rsid w:val="005E7555"/>
    <w:rsid w:val="005F2B7D"/>
    <w:rsid w:val="00644BB7"/>
    <w:rsid w:val="00645FB7"/>
    <w:rsid w:val="00646DEA"/>
    <w:rsid w:val="006858A6"/>
    <w:rsid w:val="00772305"/>
    <w:rsid w:val="007D54D3"/>
    <w:rsid w:val="00805D56"/>
    <w:rsid w:val="00811AB5"/>
    <w:rsid w:val="008246C5"/>
    <w:rsid w:val="00831410"/>
    <w:rsid w:val="00842355"/>
    <w:rsid w:val="00843D10"/>
    <w:rsid w:val="00867A4F"/>
    <w:rsid w:val="00875192"/>
    <w:rsid w:val="00880BAD"/>
    <w:rsid w:val="00897820"/>
    <w:rsid w:val="00914D76"/>
    <w:rsid w:val="00935D99"/>
    <w:rsid w:val="00950876"/>
    <w:rsid w:val="00970B03"/>
    <w:rsid w:val="009C7BCF"/>
    <w:rsid w:val="00A02E29"/>
    <w:rsid w:val="00A132E3"/>
    <w:rsid w:val="00A7178F"/>
    <w:rsid w:val="00AB11FC"/>
    <w:rsid w:val="00AB30B8"/>
    <w:rsid w:val="00AB3F72"/>
    <w:rsid w:val="00AE6113"/>
    <w:rsid w:val="00B23734"/>
    <w:rsid w:val="00B62E2B"/>
    <w:rsid w:val="00BC1C4E"/>
    <w:rsid w:val="00BD29EE"/>
    <w:rsid w:val="00BE2AA5"/>
    <w:rsid w:val="00C00B9E"/>
    <w:rsid w:val="00C078A0"/>
    <w:rsid w:val="00C75876"/>
    <w:rsid w:val="00C84131"/>
    <w:rsid w:val="00CD6AF6"/>
    <w:rsid w:val="00D00079"/>
    <w:rsid w:val="00D0683C"/>
    <w:rsid w:val="00D10D4B"/>
    <w:rsid w:val="00D10FEC"/>
    <w:rsid w:val="00D46EF7"/>
    <w:rsid w:val="00D64D2A"/>
    <w:rsid w:val="00D86232"/>
    <w:rsid w:val="00E078AB"/>
    <w:rsid w:val="00E27063"/>
    <w:rsid w:val="00E57AAE"/>
    <w:rsid w:val="00E769A8"/>
    <w:rsid w:val="00E81FDE"/>
    <w:rsid w:val="00E95D51"/>
    <w:rsid w:val="00EA6ADB"/>
    <w:rsid w:val="00EC1E17"/>
    <w:rsid w:val="00EC21C3"/>
    <w:rsid w:val="00EC3642"/>
    <w:rsid w:val="00ED454C"/>
    <w:rsid w:val="00EE08AD"/>
    <w:rsid w:val="00EE22F5"/>
    <w:rsid w:val="00F03EC0"/>
    <w:rsid w:val="00F06E6E"/>
    <w:rsid w:val="00F84D28"/>
    <w:rsid w:val="00FB465D"/>
    <w:rsid w:val="00FD2653"/>
    <w:rsid w:val="01F53AAE"/>
    <w:rsid w:val="02EB9889"/>
    <w:rsid w:val="040AF9AC"/>
    <w:rsid w:val="043D4061"/>
    <w:rsid w:val="0502AAA8"/>
    <w:rsid w:val="06EDC492"/>
    <w:rsid w:val="08326BE8"/>
    <w:rsid w:val="093BDE7E"/>
    <w:rsid w:val="0A49DA8F"/>
    <w:rsid w:val="0CA29894"/>
    <w:rsid w:val="0E0A2236"/>
    <w:rsid w:val="0E175E7A"/>
    <w:rsid w:val="0EAD4A35"/>
    <w:rsid w:val="0F5CDB4F"/>
    <w:rsid w:val="16269001"/>
    <w:rsid w:val="16F217BE"/>
    <w:rsid w:val="184CD2D1"/>
    <w:rsid w:val="18625A1F"/>
    <w:rsid w:val="1987547B"/>
    <w:rsid w:val="1CE9B1FB"/>
    <w:rsid w:val="1CF54C23"/>
    <w:rsid w:val="1E037AAA"/>
    <w:rsid w:val="1E2A748A"/>
    <w:rsid w:val="1EAA111E"/>
    <w:rsid w:val="1FB36A7D"/>
    <w:rsid w:val="204EAF96"/>
    <w:rsid w:val="20E3D526"/>
    <w:rsid w:val="2183963C"/>
    <w:rsid w:val="218CB11E"/>
    <w:rsid w:val="227F9DD3"/>
    <w:rsid w:val="2349C4F1"/>
    <w:rsid w:val="251E441D"/>
    <w:rsid w:val="25B350E9"/>
    <w:rsid w:val="28BDA31C"/>
    <w:rsid w:val="2A20ED7B"/>
    <w:rsid w:val="2A8D1DC5"/>
    <w:rsid w:val="2E4E68A1"/>
    <w:rsid w:val="2E5EDE4B"/>
    <w:rsid w:val="2EAD853A"/>
    <w:rsid w:val="2F61AF27"/>
    <w:rsid w:val="2F837109"/>
    <w:rsid w:val="34E7DD33"/>
    <w:rsid w:val="3673DCBD"/>
    <w:rsid w:val="372A636C"/>
    <w:rsid w:val="380D4E90"/>
    <w:rsid w:val="392625A5"/>
    <w:rsid w:val="3929D456"/>
    <w:rsid w:val="39A5F615"/>
    <w:rsid w:val="3AC5C37B"/>
    <w:rsid w:val="3AE5ED3C"/>
    <w:rsid w:val="3B8A61B1"/>
    <w:rsid w:val="3F4F21CB"/>
    <w:rsid w:val="4277291F"/>
    <w:rsid w:val="42A761FE"/>
    <w:rsid w:val="42CBEEE6"/>
    <w:rsid w:val="4432F91B"/>
    <w:rsid w:val="45916B46"/>
    <w:rsid w:val="4684DC40"/>
    <w:rsid w:val="49D8FDE4"/>
    <w:rsid w:val="4AABFEF1"/>
    <w:rsid w:val="4C711055"/>
    <w:rsid w:val="4D281E10"/>
    <w:rsid w:val="4D77E047"/>
    <w:rsid w:val="51E2F2AB"/>
    <w:rsid w:val="52893814"/>
    <w:rsid w:val="53D12774"/>
    <w:rsid w:val="54DD5CF4"/>
    <w:rsid w:val="55D7CDA5"/>
    <w:rsid w:val="56695174"/>
    <w:rsid w:val="570D81E6"/>
    <w:rsid w:val="5857952A"/>
    <w:rsid w:val="591B7DFB"/>
    <w:rsid w:val="59487E76"/>
    <w:rsid w:val="59F91CCD"/>
    <w:rsid w:val="5AE15527"/>
    <w:rsid w:val="5D2906AD"/>
    <w:rsid w:val="608C1A18"/>
    <w:rsid w:val="62CE94CC"/>
    <w:rsid w:val="64941D4E"/>
    <w:rsid w:val="6542D46A"/>
    <w:rsid w:val="66A46807"/>
    <w:rsid w:val="66DEF298"/>
    <w:rsid w:val="6803DFCF"/>
    <w:rsid w:val="68843F3C"/>
    <w:rsid w:val="68EB0479"/>
    <w:rsid w:val="6A1C673A"/>
    <w:rsid w:val="6A8DA8E5"/>
    <w:rsid w:val="6C9604F0"/>
    <w:rsid w:val="6F9121E1"/>
    <w:rsid w:val="70027E10"/>
    <w:rsid w:val="71B694F0"/>
    <w:rsid w:val="71F2C4A7"/>
    <w:rsid w:val="72453A10"/>
    <w:rsid w:val="72961D2D"/>
    <w:rsid w:val="75F61516"/>
    <w:rsid w:val="790BED20"/>
    <w:rsid w:val="7A2DAC10"/>
    <w:rsid w:val="7BC8E44F"/>
    <w:rsid w:val="7D16F85E"/>
    <w:rsid w:val="7D76601E"/>
    <w:rsid w:val="7D9F672B"/>
    <w:rsid w:val="7E3D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F66D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6AF6"/>
    <w:pPr>
      <w:tabs>
        <w:tab w:val="center" w:pos="4320"/>
        <w:tab w:val="right" w:pos="8640"/>
      </w:tabs>
    </w:pPr>
  </w:style>
  <w:style w:type="paragraph" w:styleId="Footer">
    <w:name w:val="footer"/>
    <w:basedOn w:val="Normal"/>
    <w:rsid w:val="00CD6AF6"/>
    <w:pPr>
      <w:tabs>
        <w:tab w:val="center" w:pos="4320"/>
        <w:tab w:val="right" w:pos="8640"/>
      </w:tabs>
    </w:pPr>
  </w:style>
  <w:style w:type="character" w:styleId="Hyperlink">
    <w:name w:val="Hyperlink"/>
    <w:rsid w:val="00CD6AF6"/>
    <w:rPr>
      <w:color w:val="0000FF"/>
      <w:u w:val="single"/>
    </w:rPr>
  </w:style>
  <w:style w:type="paragraph" w:styleId="ListParagraph">
    <w:name w:val="List Paragraph"/>
    <w:basedOn w:val="Normal"/>
    <w:uiPriority w:val="34"/>
    <w:qFormat/>
    <w:rsid w:val="0083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communitypharmacyfoundation.org/about/contact.asp" TargetMode="External"/><Relationship Id="rId1" Type="http://schemas.openxmlformats.org/officeDocument/2006/relationships/hyperlink" Target="http://www.CommunityPharmacy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3385</Characters>
  <Application>Microsoft Office Word</Application>
  <DocSecurity>0</DocSecurity>
  <Lines>28</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 Sesti</dc:creator>
  <cp:keywords/>
  <dc:description/>
  <cp:lastModifiedBy>Coley, Kim Coccodrilli</cp:lastModifiedBy>
  <cp:revision>7</cp:revision>
  <cp:lastPrinted>2015-09-29T17:27:00Z</cp:lastPrinted>
  <dcterms:created xsi:type="dcterms:W3CDTF">2025-11-12T14:27:00Z</dcterms:created>
  <dcterms:modified xsi:type="dcterms:W3CDTF">2025-12-03T22:17:00Z</dcterms:modified>
</cp:coreProperties>
</file>