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5CC9B" w14:textId="3EED4081" w:rsidR="00D0683C" w:rsidRDefault="009B2830">
      <w:r>
        <w:rPr>
          <w:noProof/>
        </w:rPr>
        <w:drawing>
          <wp:anchor distT="0" distB="0" distL="114300" distR="114300" simplePos="0" relativeHeight="251657216" behindDoc="0" locked="0" layoutInCell="1" allowOverlap="1" wp14:anchorId="45D5D21D" wp14:editId="79C969D0">
            <wp:simplePos x="0" y="0"/>
            <wp:positionH relativeFrom="column">
              <wp:posOffset>685800</wp:posOffset>
            </wp:positionH>
            <wp:positionV relativeFrom="paragraph">
              <wp:posOffset>28575</wp:posOffset>
            </wp:positionV>
            <wp:extent cx="5486400" cy="622300"/>
            <wp:effectExtent l="25400" t="25400" r="25400" b="38100"/>
            <wp:wrapNone/>
            <wp:docPr id="3" name="Picture 3" descr="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6223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58240" behindDoc="0" locked="0" layoutInCell="1" allowOverlap="1" wp14:anchorId="36EA8597" wp14:editId="2C5EC12E">
            <wp:simplePos x="0" y="0"/>
            <wp:positionH relativeFrom="column">
              <wp:posOffset>-21590</wp:posOffset>
            </wp:positionH>
            <wp:positionV relativeFrom="paragraph">
              <wp:posOffset>-454025</wp:posOffset>
            </wp:positionV>
            <wp:extent cx="6858000" cy="736600"/>
            <wp:effectExtent l="0" t="0" r="0" b="0"/>
            <wp:wrapNone/>
            <wp:docPr id="7" name="Picture 7" descr="grant_synopsis-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nt_synopsis-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E756F6" w14:textId="77777777" w:rsidR="001D22E2" w:rsidRDefault="001D22E2"/>
    <w:p w14:paraId="33FFF090" w14:textId="77777777" w:rsidR="00D10FEC" w:rsidRDefault="00D10FEC" w:rsidP="00D10FEC">
      <w:pPr>
        <w:rPr>
          <w:rFonts w:ascii="Raleway" w:hAnsi="Raleway"/>
          <w:b/>
          <w:bCs/>
          <w:szCs w:val="28"/>
        </w:rPr>
      </w:pPr>
    </w:p>
    <w:p w14:paraId="7CBC8BF1" w14:textId="77777777" w:rsidR="00D10FEC" w:rsidRPr="00D10FEC" w:rsidRDefault="00D10FEC" w:rsidP="00D10FEC">
      <w:pPr>
        <w:rPr>
          <w:rFonts w:ascii="Raleway" w:hAnsi="Raleway"/>
          <w:b/>
          <w:bCs/>
          <w:sz w:val="16"/>
          <w:szCs w:val="16"/>
        </w:rPr>
      </w:pPr>
    </w:p>
    <w:p w14:paraId="68518F44" w14:textId="518917CE" w:rsidR="00D10FEC" w:rsidRDefault="00AF02EA" w:rsidP="00D10FEC">
      <w:pPr>
        <w:jc w:val="center"/>
        <w:rPr>
          <w:rFonts w:ascii="Raleway" w:hAnsi="Raleway"/>
          <w:b/>
          <w:bCs/>
          <w:sz w:val="23"/>
          <w:szCs w:val="23"/>
        </w:rPr>
      </w:pPr>
      <w:r w:rsidRPr="00AF02EA">
        <w:rPr>
          <w:rFonts w:ascii="Raleway" w:hAnsi="Raleway"/>
          <w:b/>
          <w:bCs/>
          <w:sz w:val="23"/>
          <w:szCs w:val="23"/>
        </w:rPr>
        <w:t>Multi-Stakeholder Evaluation of Direct Contracting Between a Pharmacy and a Private Employer and Dissemination of Best Practices</w:t>
      </w:r>
    </w:p>
    <w:p w14:paraId="136316C0" w14:textId="77777777" w:rsidR="00AF02EA" w:rsidRPr="00644BB7" w:rsidRDefault="00AF02EA" w:rsidP="00D10FEC">
      <w:pPr>
        <w:jc w:val="center"/>
        <w:rPr>
          <w:rFonts w:ascii="Raleway" w:hAnsi="Raleway"/>
          <w:b/>
          <w:sz w:val="23"/>
          <w:szCs w:val="23"/>
        </w:rPr>
      </w:pPr>
    </w:p>
    <w:p w14:paraId="4BFB8256" w14:textId="0BAB5B95" w:rsidR="00616E04" w:rsidRDefault="00AF02EA" w:rsidP="00D10FEC">
      <w:pPr>
        <w:jc w:val="center"/>
        <w:rPr>
          <w:rFonts w:ascii="Raleway" w:hAnsi="Raleway"/>
          <w:sz w:val="22"/>
          <w:szCs w:val="22"/>
        </w:rPr>
      </w:pPr>
      <w:r>
        <w:rPr>
          <w:rFonts w:ascii="Raleway" w:hAnsi="Raleway"/>
          <w:sz w:val="22"/>
          <w:szCs w:val="22"/>
        </w:rPr>
        <w:t xml:space="preserve">Matthew Witry, </w:t>
      </w:r>
      <w:r w:rsidR="00616E04">
        <w:rPr>
          <w:rFonts w:ascii="Raleway" w:hAnsi="Raleway"/>
          <w:sz w:val="22"/>
          <w:szCs w:val="22"/>
        </w:rPr>
        <w:t>William Doucette, Julie Urmie – University of Iowa</w:t>
      </w:r>
    </w:p>
    <w:p w14:paraId="1BF20124" w14:textId="2D7264D1" w:rsidR="00D10FEC" w:rsidRPr="004E517E" w:rsidRDefault="00AF02EA" w:rsidP="00D10FEC">
      <w:pPr>
        <w:jc w:val="center"/>
        <w:rPr>
          <w:rFonts w:ascii="Raleway" w:hAnsi="Raleway"/>
          <w:sz w:val="22"/>
          <w:szCs w:val="22"/>
        </w:rPr>
      </w:pPr>
      <w:r>
        <w:rPr>
          <w:rFonts w:ascii="Raleway" w:hAnsi="Raleway"/>
          <w:sz w:val="22"/>
          <w:szCs w:val="22"/>
        </w:rPr>
        <w:t xml:space="preserve">Randy McDonough, </w:t>
      </w:r>
      <w:r w:rsidR="005F6C8B">
        <w:rPr>
          <w:rFonts w:ascii="Raleway" w:hAnsi="Raleway"/>
          <w:sz w:val="22"/>
          <w:szCs w:val="22"/>
        </w:rPr>
        <w:t>Mike Deninger, Kelly Kent</w:t>
      </w:r>
      <w:r w:rsidR="00616E04">
        <w:rPr>
          <w:rFonts w:ascii="Raleway" w:hAnsi="Raleway"/>
          <w:sz w:val="22"/>
          <w:szCs w:val="22"/>
        </w:rPr>
        <w:t xml:space="preserve"> – Towncrest Pharmacy</w:t>
      </w:r>
    </w:p>
    <w:p w14:paraId="2E2288F6" w14:textId="3A6E54D6" w:rsidR="00D10FEC" w:rsidRPr="004E517E" w:rsidRDefault="00616E04" w:rsidP="00D10FEC">
      <w:pPr>
        <w:jc w:val="center"/>
        <w:rPr>
          <w:rFonts w:ascii="Raleway" w:hAnsi="Raleway"/>
          <w:sz w:val="20"/>
          <w:szCs w:val="22"/>
        </w:rPr>
      </w:pPr>
      <w:r>
        <w:rPr>
          <w:rFonts w:ascii="Raleway" w:hAnsi="Raleway"/>
          <w:sz w:val="20"/>
          <w:szCs w:val="22"/>
        </w:rPr>
        <w:t>Iowa City, IA, USA</w:t>
      </w:r>
    </w:p>
    <w:p w14:paraId="7DED18C2" w14:textId="77777777" w:rsidR="00867A4F" w:rsidRPr="00D10FEC" w:rsidRDefault="00867A4F" w:rsidP="001D22E2">
      <w:pPr>
        <w:jc w:val="center"/>
        <w:rPr>
          <w:rFonts w:ascii="Bell MT" w:hAnsi="Bell MT"/>
          <w:b/>
          <w:sz w:val="10"/>
          <w:szCs w:val="12"/>
        </w:rPr>
      </w:pPr>
    </w:p>
    <w:p w14:paraId="0BDBD10D" w14:textId="77777777" w:rsidR="00811AB5" w:rsidRPr="00811AB5" w:rsidRDefault="00811AB5" w:rsidP="001D22E2">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400813" w14:paraId="253C4E33" w14:textId="77777777" w:rsidTr="004B6816">
        <w:tc>
          <w:tcPr>
            <w:tcW w:w="10790" w:type="dxa"/>
            <w:shd w:val="clear" w:color="auto" w:fill="CCCCCC"/>
            <w:vAlign w:val="center"/>
          </w:tcPr>
          <w:p w14:paraId="0AEF9BE5" w14:textId="77777777" w:rsidR="00400813" w:rsidRPr="00644BB7" w:rsidRDefault="00400813" w:rsidP="00032C31">
            <w:pPr>
              <w:jc w:val="center"/>
              <w:rPr>
                <w:rFonts w:ascii="Raleway" w:hAnsi="Raleway"/>
                <w:b/>
                <w:sz w:val="22"/>
                <w:szCs w:val="22"/>
              </w:rPr>
            </w:pPr>
            <w:r w:rsidRPr="00644BB7">
              <w:rPr>
                <w:rFonts w:ascii="Raleway" w:hAnsi="Raleway"/>
                <w:b/>
                <w:sz w:val="22"/>
                <w:szCs w:val="22"/>
              </w:rPr>
              <w:t>Objectives</w:t>
            </w:r>
          </w:p>
        </w:tc>
      </w:tr>
      <w:tr w:rsidR="00400813" w14:paraId="3AE69724" w14:textId="77777777" w:rsidTr="004B6816">
        <w:tc>
          <w:tcPr>
            <w:tcW w:w="10790" w:type="dxa"/>
            <w:shd w:val="clear" w:color="auto" w:fill="auto"/>
          </w:tcPr>
          <w:p w14:paraId="1590C23D" w14:textId="7345ED6E" w:rsidR="00E57AAE" w:rsidRDefault="0059030C" w:rsidP="00D10FEC">
            <w:pPr>
              <w:rPr>
                <w:rFonts w:ascii="Calibri" w:hAnsi="Calibri"/>
                <w:bCs/>
                <w:color w:val="000000"/>
                <w:sz w:val="22"/>
                <w:szCs w:val="22"/>
                <w:shd w:val="clear" w:color="auto" w:fill="FFFFFF"/>
              </w:rPr>
            </w:pPr>
            <w:r>
              <w:rPr>
                <w:rFonts w:ascii="Calibri" w:hAnsi="Calibri"/>
                <w:bCs/>
                <w:color w:val="000000"/>
                <w:sz w:val="22"/>
                <w:szCs w:val="22"/>
                <w:shd w:val="clear" w:color="auto" w:fill="FFFFFF"/>
              </w:rPr>
              <w:t xml:space="preserve">This study details the experiences and learnings from </w:t>
            </w:r>
            <w:r w:rsidR="004E04EB">
              <w:rPr>
                <w:rFonts w:ascii="Calibri" w:hAnsi="Calibri"/>
                <w:bCs/>
                <w:color w:val="000000"/>
                <w:sz w:val="22"/>
                <w:szCs w:val="22"/>
                <w:shd w:val="clear" w:color="auto" w:fill="FFFFFF"/>
              </w:rPr>
              <w:t xml:space="preserve">Towncrest </w:t>
            </w:r>
            <w:r w:rsidR="002A517B">
              <w:rPr>
                <w:rFonts w:ascii="Calibri" w:hAnsi="Calibri"/>
                <w:bCs/>
                <w:color w:val="000000"/>
                <w:sz w:val="22"/>
                <w:szCs w:val="22"/>
                <w:shd w:val="clear" w:color="auto" w:fill="FFFFFF"/>
              </w:rPr>
              <w:t>P</w:t>
            </w:r>
            <w:r w:rsidR="0039088D">
              <w:rPr>
                <w:rFonts w:ascii="Calibri" w:hAnsi="Calibri"/>
                <w:bCs/>
                <w:color w:val="000000"/>
                <w:sz w:val="22"/>
                <w:szCs w:val="22"/>
                <w:shd w:val="clear" w:color="auto" w:fill="FFFFFF"/>
              </w:rPr>
              <w:t xml:space="preserve">harmacy and a </w:t>
            </w:r>
            <w:r w:rsidR="005B251B">
              <w:rPr>
                <w:rFonts w:ascii="Calibri" w:hAnsi="Calibri"/>
                <w:bCs/>
                <w:color w:val="000000"/>
                <w:sz w:val="22"/>
                <w:szCs w:val="22"/>
                <w:shd w:val="clear" w:color="auto" w:fill="FFFFFF"/>
              </w:rPr>
              <w:t xml:space="preserve">local employer engaging in a direct contract arrangement for prescriptions and pharmacy services. </w:t>
            </w:r>
            <w:r w:rsidR="00DE3165">
              <w:rPr>
                <w:rFonts w:ascii="Calibri" w:hAnsi="Calibri"/>
                <w:bCs/>
                <w:color w:val="000000"/>
                <w:sz w:val="22"/>
                <w:szCs w:val="22"/>
                <w:shd w:val="clear" w:color="auto" w:fill="FFFFFF"/>
              </w:rPr>
              <w:t>The objectiv</w:t>
            </w:r>
            <w:r w:rsidR="00DF793B">
              <w:rPr>
                <w:rFonts w:ascii="Calibri" w:hAnsi="Calibri"/>
                <w:bCs/>
                <w:color w:val="000000"/>
                <w:sz w:val="22"/>
                <w:szCs w:val="22"/>
                <w:shd w:val="clear" w:color="auto" w:fill="FFFFFF"/>
              </w:rPr>
              <w:t>es of this study were to assess the employer</w:t>
            </w:r>
            <w:r w:rsidR="00245F23">
              <w:rPr>
                <w:rFonts w:ascii="Calibri" w:hAnsi="Calibri"/>
                <w:bCs/>
                <w:color w:val="000000"/>
                <w:sz w:val="22"/>
                <w:szCs w:val="22"/>
                <w:shd w:val="clear" w:color="auto" w:fill="FFFFFF"/>
              </w:rPr>
              <w:t>, patient</w:t>
            </w:r>
            <w:r w:rsidR="00C412DA">
              <w:rPr>
                <w:rFonts w:ascii="Calibri" w:hAnsi="Calibri"/>
                <w:bCs/>
                <w:color w:val="000000"/>
                <w:sz w:val="22"/>
                <w:szCs w:val="22"/>
                <w:shd w:val="clear" w:color="auto" w:fill="FFFFFF"/>
              </w:rPr>
              <w:t>,</w:t>
            </w:r>
            <w:r w:rsidR="00245F23">
              <w:rPr>
                <w:rFonts w:ascii="Calibri" w:hAnsi="Calibri"/>
                <w:bCs/>
                <w:color w:val="000000"/>
                <w:sz w:val="22"/>
                <w:szCs w:val="22"/>
                <w:shd w:val="clear" w:color="auto" w:fill="FFFFFF"/>
              </w:rPr>
              <w:t xml:space="preserve"> and pharmacy </w:t>
            </w:r>
            <w:r w:rsidR="00DF793B">
              <w:rPr>
                <w:rFonts w:ascii="Calibri" w:hAnsi="Calibri"/>
                <w:bCs/>
                <w:color w:val="000000"/>
                <w:sz w:val="22"/>
                <w:szCs w:val="22"/>
                <w:shd w:val="clear" w:color="auto" w:fill="FFFFFF"/>
              </w:rPr>
              <w:t>ex</w:t>
            </w:r>
            <w:r w:rsidR="00245F23">
              <w:rPr>
                <w:rFonts w:ascii="Calibri" w:hAnsi="Calibri"/>
                <w:bCs/>
                <w:color w:val="000000"/>
                <w:sz w:val="22"/>
                <w:szCs w:val="22"/>
                <w:shd w:val="clear" w:color="auto" w:fill="FFFFFF"/>
              </w:rPr>
              <w:t xml:space="preserve">periences and financial implications of the direct contract and </w:t>
            </w:r>
            <w:r w:rsidR="00375A79">
              <w:rPr>
                <w:rFonts w:ascii="Calibri" w:hAnsi="Calibri"/>
                <w:bCs/>
                <w:color w:val="000000"/>
                <w:sz w:val="22"/>
                <w:szCs w:val="22"/>
                <w:shd w:val="clear" w:color="auto" w:fill="FFFFFF"/>
              </w:rPr>
              <w:t xml:space="preserve">create a playbook for </w:t>
            </w:r>
            <w:r w:rsidR="005C2002">
              <w:rPr>
                <w:rFonts w:ascii="Calibri" w:hAnsi="Calibri"/>
                <w:bCs/>
                <w:color w:val="000000"/>
                <w:sz w:val="22"/>
                <w:szCs w:val="22"/>
                <w:shd w:val="clear" w:color="auto" w:fill="FFFFFF"/>
              </w:rPr>
              <w:t xml:space="preserve">pharmacies and stakeholders interested in implementing </w:t>
            </w:r>
            <w:r w:rsidR="006E0F0E">
              <w:rPr>
                <w:rFonts w:ascii="Calibri" w:hAnsi="Calibri"/>
                <w:bCs/>
                <w:color w:val="000000"/>
                <w:sz w:val="22"/>
                <w:szCs w:val="22"/>
                <w:shd w:val="clear" w:color="auto" w:fill="FFFFFF"/>
              </w:rPr>
              <w:t>similar</w:t>
            </w:r>
            <w:r w:rsidR="005C2002">
              <w:rPr>
                <w:rFonts w:ascii="Calibri" w:hAnsi="Calibri"/>
                <w:bCs/>
                <w:color w:val="000000"/>
                <w:sz w:val="22"/>
                <w:szCs w:val="22"/>
                <w:shd w:val="clear" w:color="auto" w:fill="FFFFFF"/>
              </w:rPr>
              <w:t xml:space="preserve"> arrangement</w:t>
            </w:r>
            <w:r w:rsidR="006E0F0E">
              <w:rPr>
                <w:rFonts w:ascii="Calibri" w:hAnsi="Calibri"/>
                <w:bCs/>
                <w:color w:val="000000"/>
                <w:sz w:val="22"/>
                <w:szCs w:val="22"/>
                <w:shd w:val="clear" w:color="auto" w:fill="FFFFFF"/>
              </w:rPr>
              <w:t>s</w:t>
            </w:r>
            <w:r w:rsidR="005C2002">
              <w:rPr>
                <w:rFonts w:ascii="Calibri" w:hAnsi="Calibri"/>
                <w:bCs/>
                <w:color w:val="000000"/>
                <w:sz w:val="22"/>
                <w:szCs w:val="22"/>
                <w:shd w:val="clear" w:color="auto" w:fill="FFFFFF"/>
              </w:rPr>
              <w:t>.</w:t>
            </w:r>
          </w:p>
          <w:p w14:paraId="6D784B1D" w14:textId="77777777" w:rsidR="00935D99" w:rsidRPr="00EE22F5" w:rsidRDefault="00935D99" w:rsidP="00D10FEC">
            <w:pPr>
              <w:rPr>
                <w:rFonts w:ascii="Calibri" w:hAnsi="Calibri"/>
              </w:rPr>
            </w:pPr>
          </w:p>
        </w:tc>
      </w:tr>
      <w:tr w:rsidR="00400813" w14:paraId="47BACA03" w14:textId="77777777" w:rsidTr="004B6816">
        <w:trPr>
          <w:trHeight w:val="260"/>
        </w:trPr>
        <w:tc>
          <w:tcPr>
            <w:tcW w:w="10790" w:type="dxa"/>
            <w:shd w:val="clear" w:color="auto" w:fill="CCCCCC"/>
          </w:tcPr>
          <w:p w14:paraId="3B410071" w14:textId="77777777" w:rsidR="00400813" w:rsidRPr="00644BB7" w:rsidRDefault="00400813" w:rsidP="00032C31">
            <w:pPr>
              <w:jc w:val="center"/>
              <w:rPr>
                <w:rFonts w:ascii="Raleway" w:hAnsi="Raleway"/>
                <w:b/>
                <w:sz w:val="22"/>
                <w:szCs w:val="22"/>
              </w:rPr>
            </w:pPr>
            <w:r w:rsidRPr="00644BB7">
              <w:rPr>
                <w:rFonts w:ascii="Raleway" w:hAnsi="Raleway"/>
                <w:b/>
                <w:sz w:val="22"/>
                <w:szCs w:val="22"/>
              </w:rPr>
              <w:t>Methods</w:t>
            </w:r>
          </w:p>
        </w:tc>
      </w:tr>
      <w:tr w:rsidR="004B6816" w14:paraId="34F528D4" w14:textId="77777777" w:rsidTr="00CD6A15">
        <w:trPr>
          <w:trHeight w:val="1165"/>
        </w:trPr>
        <w:tc>
          <w:tcPr>
            <w:tcW w:w="10790" w:type="dxa"/>
            <w:shd w:val="clear" w:color="auto" w:fill="auto"/>
          </w:tcPr>
          <w:p w14:paraId="596CC0DB" w14:textId="3FE6F0C1" w:rsidR="004B6816" w:rsidRDefault="004B6816" w:rsidP="0058677E">
            <w:pPr>
              <w:rPr>
                <w:rFonts w:ascii="Calibri" w:hAnsi="Calibri"/>
              </w:rPr>
            </w:pPr>
            <w:r w:rsidRPr="00C40939">
              <w:rPr>
                <w:rFonts w:ascii="Calibri" w:hAnsi="Calibri"/>
                <w:b/>
                <w:bCs/>
              </w:rPr>
              <w:t>Design:</w:t>
            </w:r>
            <w:r w:rsidR="0014561F">
              <w:rPr>
                <w:rFonts w:ascii="Calibri" w:hAnsi="Calibri"/>
              </w:rPr>
              <w:t xml:space="preserve"> This study consisted of </w:t>
            </w:r>
            <w:r w:rsidR="0008282D">
              <w:rPr>
                <w:rFonts w:ascii="Calibri" w:hAnsi="Calibri"/>
              </w:rPr>
              <w:t>four</w:t>
            </w:r>
            <w:r w:rsidR="0014561F">
              <w:rPr>
                <w:rFonts w:ascii="Calibri" w:hAnsi="Calibri"/>
              </w:rPr>
              <w:t xml:space="preserve"> data collection methods</w:t>
            </w:r>
            <w:r w:rsidR="0008282D">
              <w:rPr>
                <w:rFonts w:ascii="Calibri" w:hAnsi="Calibri"/>
              </w:rPr>
              <w:t xml:space="preserve">, 1) retrospective analysis of </w:t>
            </w:r>
            <w:r w:rsidR="00DC4E0B">
              <w:rPr>
                <w:rFonts w:ascii="Calibri" w:hAnsi="Calibri"/>
              </w:rPr>
              <w:t xml:space="preserve">412 </w:t>
            </w:r>
            <w:r w:rsidR="0008282D">
              <w:rPr>
                <w:rFonts w:ascii="Calibri" w:hAnsi="Calibri"/>
              </w:rPr>
              <w:t>prescription claims</w:t>
            </w:r>
            <w:r w:rsidR="001D1AD4">
              <w:rPr>
                <w:rFonts w:ascii="Calibri" w:hAnsi="Calibri"/>
              </w:rPr>
              <w:t xml:space="preserve"> for study employees</w:t>
            </w:r>
            <w:r w:rsidR="00AC4A70">
              <w:rPr>
                <w:rFonts w:ascii="Calibri" w:hAnsi="Calibri"/>
              </w:rPr>
              <w:t xml:space="preserve"> under the previous PBM contract and what they would have been charged under the pharmacy </w:t>
            </w:r>
            <w:r w:rsidR="001F390B">
              <w:rPr>
                <w:rFonts w:ascii="Calibri" w:hAnsi="Calibri"/>
              </w:rPr>
              <w:t xml:space="preserve">cost-plus </w:t>
            </w:r>
            <w:r w:rsidR="00AC4A70">
              <w:rPr>
                <w:rFonts w:ascii="Calibri" w:hAnsi="Calibri"/>
              </w:rPr>
              <w:t>direct contract</w:t>
            </w:r>
            <w:r w:rsidR="001D1AD4">
              <w:rPr>
                <w:rFonts w:ascii="Calibri" w:hAnsi="Calibri"/>
              </w:rPr>
              <w:t xml:space="preserve">, 2) retrospective analysis of pharmacist interventions and drug therapy problems documented in the pharmacy clinical documentation software, 3) cross-sectional </w:t>
            </w:r>
            <w:r w:rsidR="00803DC7">
              <w:rPr>
                <w:rFonts w:ascii="Calibri" w:hAnsi="Calibri"/>
              </w:rPr>
              <w:t xml:space="preserve">mailed </w:t>
            </w:r>
            <w:r w:rsidR="001D1AD4">
              <w:rPr>
                <w:rFonts w:ascii="Calibri" w:hAnsi="Calibri"/>
              </w:rPr>
              <w:t xml:space="preserve">survey </w:t>
            </w:r>
            <w:r w:rsidR="00AC4A70">
              <w:rPr>
                <w:rFonts w:ascii="Calibri" w:hAnsi="Calibri"/>
              </w:rPr>
              <w:t xml:space="preserve">of </w:t>
            </w:r>
            <w:r w:rsidR="00803DC7">
              <w:rPr>
                <w:rFonts w:ascii="Calibri" w:hAnsi="Calibri"/>
              </w:rPr>
              <w:t>employee</w:t>
            </w:r>
            <w:r w:rsidR="003A2C20">
              <w:rPr>
                <w:rFonts w:ascii="Calibri" w:hAnsi="Calibri"/>
              </w:rPr>
              <w:t xml:space="preserve">s who filled </w:t>
            </w:r>
            <w:r w:rsidR="00517210">
              <w:rPr>
                <w:rFonts w:ascii="Calibri" w:hAnsi="Calibri"/>
              </w:rPr>
              <w:t>prescriptions</w:t>
            </w:r>
            <w:r w:rsidR="003A2C20">
              <w:rPr>
                <w:rFonts w:ascii="Calibri" w:hAnsi="Calibri"/>
              </w:rPr>
              <w:t xml:space="preserve"> under </w:t>
            </w:r>
            <w:r w:rsidR="00517210">
              <w:rPr>
                <w:rFonts w:ascii="Calibri" w:hAnsi="Calibri"/>
              </w:rPr>
              <w:t>the direct contract</w:t>
            </w:r>
            <w:r w:rsidR="00803DC7">
              <w:rPr>
                <w:rFonts w:ascii="Calibri" w:hAnsi="Calibri"/>
              </w:rPr>
              <w:t xml:space="preserve"> to assess satisfaction</w:t>
            </w:r>
            <w:r w:rsidR="00575B57">
              <w:rPr>
                <w:rFonts w:ascii="Calibri" w:hAnsi="Calibri"/>
              </w:rPr>
              <w:t xml:space="preserve">, experience, and perspectives on the arrangement </w:t>
            </w:r>
            <w:r w:rsidR="00C25F56">
              <w:rPr>
                <w:rFonts w:ascii="Calibri" w:hAnsi="Calibri"/>
              </w:rPr>
              <w:t xml:space="preserve">including service use and comparison to </w:t>
            </w:r>
            <w:r w:rsidR="00B929C6">
              <w:rPr>
                <w:rFonts w:ascii="Calibri" w:hAnsi="Calibri"/>
              </w:rPr>
              <w:t xml:space="preserve">the </w:t>
            </w:r>
            <w:r w:rsidR="00C25F56">
              <w:rPr>
                <w:rFonts w:ascii="Calibri" w:hAnsi="Calibri"/>
              </w:rPr>
              <w:t xml:space="preserve">previous pharmacy and previous prescription payment </w:t>
            </w:r>
            <w:r w:rsidR="004139CF">
              <w:rPr>
                <w:rFonts w:ascii="Calibri" w:hAnsi="Calibri"/>
              </w:rPr>
              <w:t xml:space="preserve">arrangement and 4) </w:t>
            </w:r>
            <w:r w:rsidR="0018102D">
              <w:rPr>
                <w:rFonts w:ascii="Calibri" w:hAnsi="Calibri"/>
              </w:rPr>
              <w:t xml:space="preserve">7-60 minute </w:t>
            </w:r>
            <w:r w:rsidR="004139CF">
              <w:rPr>
                <w:rFonts w:ascii="Calibri" w:hAnsi="Calibri"/>
              </w:rPr>
              <w:t xml:space="preserve">semi-structured interviews with </w:t>
            </w:r>
            <w:r w:rsidR="001E4E5D">
              <w:rPr>
                <w:rFonts w:ascii="Calibri" w:hAnsi="Calibri"/>
              </w:rPr>
              <w:t xml:space="preserve">key stakeholders including the </w:t>
            </w:r>
            <w:r w:rsidR="002A517B">
              <w:rPr>
                <w:rFonts w:ascii="Calibri" w:hAnsi="Calibri"/>
              </w:rPr>
              <w:t xml:space="preserve">business </w:t>
            </w:r>
            <w:r w:rsidR="006651E3">
              <w:rPr>
                <w:rFonts w:ascii="Calibri" w:hAnsi="Calibri"/>
              </w:rPr>
              <w:t xml:space="preserve">owner, insurance agents, pharmacy owners, </w:t>
            </w:r>
            <w:r w:rsidR="00B929C6">
              <w:rPr>
                <w:rFonts w:ascii="Calibri" w:hAnsi="Calibri"/>
              </w:rPr>
              <w:t xml:space="preserve">and experts in the prescription payment and pharmacy </w:t>
            </w:r>
            <w:r w:rsidR="00517210">
              <w:rPr>
                <w:rFonts w:ascii="Calibri" w:hAnsi="Calibri"/>
              </w:rPr>
              <w:t>benefits</w:t>
            </w:r>
            <w:r w:rsidR="00B929C6">
              <w:rPr>
                <w:rFonts w:ascii="Calibri" w:hAnsi="Calibri"/>
              </w:rPr>
              <w:t xml:space="preserve"> management industry.</w:t>
            </w:r>
            <w:r w:rsidR="00803DC7">
              <w:rPr>
                <w:rFonts w:ascii="Calibri" w:hAnsi="Calibri"/>
              </w:rPr>
              <w:t xml:space="preserve"> </w:t>
            </w:r>
          </w:p>
          <w:p w14:paraId="3DE8D132" w14:textId="77777777" w:rsidR="004B6816" w:rsidRPr="008246C5" w:rsidRDefault="004B6816" w:rsidP="0058677E">
            <w:pPr>
              <w:rPr>
                <w:rFonts w:ascii="Calibri" w:hAnsi="Calibri"/>
              </w:rPr>
            </w:pPr>
          </w:p>
          <w:p w14:paraId="2BD604B9" w14:textId="3F04E0E7" w:rsidR="001820F8" w:rsidRPr="00C40939" w:rsidRDefault="004B6816" w:rsidP="001820F8">
            <w:pPr>
              <w:rPr>
                <w:rFonts w:ascii="Calibri" w:hAnsi="Calibri"/>
              </w:rPr>
            </w:pPr>
            <w:r w:rsidRPr="00C40939">
              <w:rPr>
                <w:rFonts w:ascii="Calibri" w:hAnsi="Calibri"/>
                <w:b/>
                <w:bCs/>
              </w:rPr>
              <w:t>Study endpoints</w:t>
            </w:r>
            <w:r w:rsidR="00C40939">
              <w:rPr>
                <w:rFonts w:ascii="Calibri" w:hAnsi="Calibri"/>
                <w:b/>
                <w:bCs/>
              </w:rPr>
              <w:t xml:space="preserve">: </w:t>
            </w:r>
            <w:r w:rsidR="003C4F89">
              <w:rPr>
                <w:rFonts w:ascii="Calibri" w:hAnsi="Calibri"/>
              </w:rPr>
              <w:t>1)</w:t>
            </w:r>
            <w:r w:rsidR="00FD047C">
              <w:rPr>
                <w:rFonts w:ascii="Calibri" w:hAnsi="Calibri"/>
              </w:rPr>
              <w:t xml:space="preserve"> </w:t>
            </w:r>
            <w:r w:rsidR="00156C59">
              <w:rPr>
                <w:rFonts w:ascii="Calibri" w:hAnsi="Calibri"/>
              </w:rPr>
              <w:t>Employer net savings</w:t>
            </w:r>
            <w:r w:rsidR="00A14F5D">
              <w:rPr>
                <w:rFonts w:ascii="Calibri" w:hAnsi="Calibri"/>
              </w:rPr>
              <w:t xml:space="preserve"> total and per-prescription</w:t>
            </w:r>
            <w:r w:rsidR="00156C59">
              <w:rPr>
                <w:rFonts w:ascii="Calibri" w:hAnsi="Calibri"/>
              </w:rPr>
              <w:t xml:space="preserve"> over 6 months with the direct contract versus previous PBM</w:t>
            </w:r>
            <w:r w:rsidR="00A14F5D">
              <w:rPr>
                <w:rFonts w:ascii="Calibri" w:hAnsi="Calibri"/>
              </w:rPr>
              <w:t>; 2)</w:t>
            </w:r>
            <w:r w:rsidR="005E10AB">
              <w:rPr>
                <w:rFonts w:ascii="Calibri" w:hAnsi="Calibri"/>
              </w:rPr>
              <w:t xml:space="preserve"> </w:t>
            </w:r>
            <w:r w:rsidR="00193C93">
              <w:rPr>
                <w:rFonts w:ascii="Calibri" w:hAnsi="Calibri"/>
              </w:rPr>
              <w:t xml:space="preserve">description of pharmacist interventions and drug therapy problems identified for a </w:t>
            </w:r>
            <w:r w:rsidR="005531B9">
              <w:rPr>
                <w:rFonts w:ascii="Calibri" w:hAnsi="Calibri"/>
              </w:rPr>
              <w:t>12-month</w:t>
            </w:r>
            <w:r w:rsidR="00193C93">
              <w:rPr>
                <w:rFonts w:ascii="Calibri" w:hAnsi="Calibri"/>
              </w:rPr>
              <w:t xml:space="preserve"> period at the start of the direct contract</w:t>
            </w:r>
            <w:r w:rsidR="005531B9">
              <w:rPr>
                <w:rFonts w:ascii="Calibri" w:hAnsi="Calibri"/>
              </w:rPr>
              <w:t>;</w:t>
            </w:r>
            <w:r w:rsidR="00193C93">
              <w:rPr>
                <w:rFonts w:ascii="Calibri" w:hAnsi="Calibri"/>
              </w:rPr>
              <w:t xml:space="preserve"> </w:t>
            </w:r>
            <w:r w:rsidR="005531B9">
              <w:rPr>
                <w:rFonts w:ascii="Calibri" w:hAnsi="Calibri"/>
              </w:rPr>
              <w:t xml:space="preserve">3) </w:t>
            </w:r>
            <w:r w:rsidR="00FB6A38">
              <w:rPr>
                <w:rFonts w:ascii="Calibri" w:hAnsi="Calibri"/>
              </w:rPr>
              <w:t xml:space="preserve">Employee satisfaction measure results, </w:t>
            </w:r>
            <w:r w:rsidR="003C1F35">
              <w:rPr>
                <w:rFonts w:ascii="Calibri" w:hAnsi="Calibri"/>
              </w:rPr>
              <w:t xml:space="preserve">comparison of Towncrest to </w:t>
            </w:r>
            <w:r w:rsidR="00A33047">
              <w:rPr>
                <w:rFonts w:ascii="Calibri" w:hAnsi="Calibri"/>
              </w:rPr>
              <w:t xml:space="preserve">their </w:t>
            </w:r>
            <w:r w:rsidR="003C1F35">
              <w:rPr>
                <w:rFonts w:ascii="Calibri" w:hAnsi="Calibri"/>
              </w:rPr>
              <w:t>previous pharmacy, awareness</w:t>
            </w:r>
            <w:r w:rsidR="00277179">
              <w:rPr>
                <w:rFonts w:ascii="Calibri" w:hAnsi="Calibri"/>
              </w:rPr>
              <w:t>,</w:t>
            </w:r>
            <w:r w:rsidR="003C1F35">
              <w:rPr>
                <w:rFonts w:ascii="Calibri" w:hAnsi="Calibri"/>
              </w:rPr>
              <w:t xml:space="preserve"> and use of enhanced pharmacy services, perceived change in out-of-pocket cost</w:t>
            </w:r>
            <w:r w:rsidR="00277179">
              <w:rPr>
                <w:rFonts w:ascii="Calibri" w:hAnsi="Calibri"/>
              </w:rPr>
              <w:t xml:space="preserve">s with the direct contract; 4) </w:t>
            </w:r>
            <w:r w:rsidR="0062284C">
              <w:rPr>
                <w:rFonts w:ascii="Calibri" w:hAnsi="Calibri"/>
              </w:rPr>
              <w:t>analysis of pharmacy revenue, costs, and profit associated with the direct contract</w:t>
            </w:r>
            <w:r w:rsidR="00AC76B7">
              <w:rPr>
                <w:rFonts w:ascii="Calibri" w:hAnsi="Calibri"/>
              </w:rPr>
              <w:t>; 5</w:t>
            </w:r>
            <w:r w:rsidR="006B6123">
              <w:rPr>
                <w:rFonts w:ascii="Calibri" w:hAnsi="Calibri"/>
              </w:rPr>
              <w:t>)</w:t>
            </w:r>
            <w:r w:rsidR="00AC76B7">
              <w:rPr>
                <w:rFonts w:ascii="Calibri" w:hAnsi="Calibri"/>
              </w:rPr>
              <w:t xml:space="preserve"> a playbook </w:t>
            </w:r>
            <w:r w:rsidR="001820F8">
              <w:rPr>
                <w:rFonts w:ascii="Calibri" w:hAnsi="Calibri"/>
              </w:rPr>
              <w:t xml:space="preserve">informed by stakeholder interviews </w:t>
            </w:r>
          </w:p>
          <w:p w14:paraId="1DC54BAF" w14:textId="62E3B3D6" w:rsidR="004B6816" w:rsidRPr="004B6816" w:rsidRDefault="00327D91" w:rsidP="001820F8">
            <w:pPr>
              <w:rPr>
                <w:rFonts w:ascii="Calibri" w:hAnsi="Calibri"/>
                <w:sz w:val="22"/>
                <w:szCs w:val="22"/>
              </w:rPr>
            </w:pPr>
            <w:r>
              <w:rPr>
                <w:rFonts w:ascii="Calibri" w:hAnsi="Calibri"/>
              </w:rPr>
              <w:t xml:space="preserve">for pharmacies and others looking to learn from and implement </w:t>
            </w:r>
            <w:r w:rsidR="001820F8">
              <w:rPr>
                <w:rFonts w:ascii="Calibri" w:hAnsi="Calibri"/>
              </w:rPr>
              <w:t xml:space="preserve">direct contracts. </w:t>
            </w:r>
          </w:p>
        </w:tc>
      </w:tr>
      <w:tr w:rsidR="00400813" w14:paraId="1DD39EE0" w14:textId="77777777" w:rsidTr="004B6816">
        <w:tc>
          <w:tcPr>
            <w:tcW w:w="10790" w:type="dxa"/>
            <w:shd w:val="clear" w:color="auto" w:fill="CCCCCC"/>
          </w:tcPr>
          <w:p w14:paraId="05580C11" w14:textId="77777777" w:rsidR="00400813" w:rsidRPr="00644BB7" w:rsidRDefault="00400813" w:rsidP="00032C31">
            <w:pPr>
              <w:jc w:val="center"/>
              <w:rPr>
                <w:rFonts w:ascii="Raleway" w:hAnsi="Raleway"/>
                <w:sz w:val="22"/>
                <w:szCs w:val="22"/>
              </w:rPr>
            </w:pPr>
            <w:r w:rsidRPr="00644BB7">
              <w:rPr>
                <w:rFonts w:ascii="Raleway" w:hAnsi="Raleway"/>
                <w:b/>
                <w:sz w:val="22"/>
                <w:szCs w:val="22"/>
              </w:rPr>
              <w:t>Results</w:t>
            </w:r>
          </w:p>
        </w:tc>
      </w:tr>
      <w:tr w:rsidR="00400813" w14:paraId="2B1ABFE8" w14:textId="77777777" w:rsidTr="004B6816">
        <w:tc>
          <w:tcPr>
            <w:tcW w:w="10790" w:type="dxa"/>
            <w:shd w:val="clear" w:color="auto" w:fill="auto"/>
          </w:tcPr>
          <w:p w14:paraId="3E9FA776" w14:textId="3B84FD71" w:rsidR="00F848E1" w:rsidRPr="00240FE7" w:rsidRDefault="00F848E1" w:rsidP="005F0074">
            <w:pPr>
              <w:rPr>
                <w:rFonts w:ascii="Calibri" w:hAnsi="Calibri"/>
                <w:sz w:val="22"/>
                <w:szCs w:val="22"/>
                <w:u w:val="single"/>
              </w:rPr>
            </w:pPr>
            <w:r w:rsidRPr="000D679C">
              <w:rPr>
                <w:rFonts w:ascii="Calibri" w:hAnsi="Calibri"/>
                <w:b/>
                <w:bCs/>
                <w:sz w:val="22"/>
                <w:szCs w:val="22"/>
              </w:rPr>
              <w:t xml:space="preserve">Employer </w:t>
            </w:r>
            <w:r w:rsidR="0084279C">
              <w:rPr>
                <w:rFonts w:ascii="Calibri" w:hAnsi="Calibri"/>
                <w:b/>
                <w:bCs/>
                <w:sz w:val="22"/>
                <w:szCs w:val="22"/>
              </w:rPr>
              <w:t>financial analysis</w:t>
            </w:r>
            <w:r w:rsidR="000D679C" w:rsidRPr="00EC7902">
              <w:rPr>
                <w:rFonts w:ascii="Calibri" w:hAnsi="Calibri"/>
                <w:b/>
                <w:bCs/>
                <w:sz w:val="22"/>
                <w:szCs w:val="22"/>
              </w:rPr>
              <w:t>:</w:t>
            </w:r>
            <w:r w:rsidR="00FC7BAC" w:rsidRPr="00EC7902">
              <w:rPr>
                <w:rFonts w:ascii="Calibri" w:hAnsi="Calibri"/>
                <w:b/>
                <w:bCs/>
                <w:sz w:val="22"/>
                <w:szCs w:val="22"/>
              </w:rPr>
              <w:t xml:space="preserve"> </w:t>
            </w:r>
            <w:r w:rsidR="00240FE7">
              <w:rPr>
                <w:rFonts w:ascii="Calibri" w:hAnsi="Calibri"/>
                <w:sz w:val="22"/>
                <w:szCs w:val="22"/>
              </w:rPr>
              <w:t xml:space="preserve">For the </w:t>
            </w:r>
            <w:r w:rsidR="00973B4D">
              <w:rPr>
                <w:rFonts w:ascii="Calibri" w:hAnsi="Calibri"/>
                <w:sz w:val="22"/>
                <w:szCs w:val="22"/>
              </w:rPr>
              <w:t>six-month</w:t>
            </w:r>
            <w:r w:rsidR="00240FE7">
              <w:rPr>
                <w:rFonts w:ascii="Calibri" w:hAnsi="Calibri"/>
                <w:sz w:val="22"/>
                <w:szCs w:val="22"/>
              </w:rPr>
              <w:t xml:space="preserve"> comparison of the </w:t>
            </w:r>
            <w:r w:rsidR="00973B4D">
              <w:rPr>
                <w:rFonts w:ascii="Calibri" w:hAnsi="Calibri"/>
                <w:sz w:val="22"/>
                <w:szCs w:val="22"/>
              </w:rPr>
              <w:t>employer’s</w:t>
            </w:r>
            <w:r w:rsidR="00240FE7">
              <w:rPr>
                <w:rFonts w:ascii="Calibri" w:hAnsi="Calibri"/>
                <w:sz w:val="22"/>
                <w:szCs w:val="22"/>
              </w:rPr>
              <w:t xml:space="preserve"> PBM contract with what they would pay with the direct contract with Towncrest, </w:t>
            </w:r>
            <w:r w:rsidR="00B26E3B">
              <w:rPr>
                <w:rFonts w:ascii="Calibri" w:hAnsi="Calibri"/>
                <w:sz w:val="22"/>
                <w:szCs w:val="22"/>
              </w:rPr>
              <w:t>the employer’s net savings was calculated at $5,664</w:t>
            </w:r>
            <w:r w:rsidR="008E44CF">
              <w:rPr>
                <w:rFonts w:ascii="Calibri" w:hAnsi="Calibri"/>
                <w:sz w:val="22"/>
                <w:szCs w:val="22"/>
              </w:rPr>
              <w:t xml:space="preserve"> which averages to $13.74 per prescription. </w:t>
            </w:r>
            <w:r w:rsidR="003B3D1D">
              <w:rPr>
                <w:rFonts w:ascii="Calibri" w:hAnsi="Calibri"/>
                <w:sz w:val="22"/>
                <w:szCs w:val="22"/>
              </w:rPr>
              <w:t xml:space="preserve">This is 18.5% less </w:t>
            </w:r>
            <w:r w:rsidR="00B85829">
              <w:rPr>
                <w:rFonts w:ascii="Calibri" w:hAnsi="Calibri"/>
                <w:sz w:val="22"/>
                <w:szCs w:val="22"/>
              </w:rPr>
              <w:t xml:space="preserve">per prescription under the </w:t>
            </w:r>
            <w:r w:rsidR="001F14F0">
              <w:rPr>
                <w:rFonts w:ascii="Calibri" w:hAnsi="Calibri"/>
                <w:sz w:val="22"/>
                <w:szCs w:val="22"/>
              </w:rPr>
              <w:t>cost-plus arrangement with Towncrest</w:t>
            </w:r>
            <w:r w:rsidR="003B3D1D">
              <w:rPr>
                <w:rFonts w:ascii="Calibri" w:hAnsi="Calibri"/>
                <w:sz w:val="22"/>
                <w:szCs w:val="22"/>
              </w:rPr>
              <w:t xml:space="preserve"> compared to the PBM contract</w:t>
            </w:r>
            <w:r w:rsidR="001F14F0">
              <w:rPr>
                <w:rFonts w:ascii="Calibri" w:hAnsi="Calibri"/>
                <w:sz w:val="22"/>
                <w:szCs w:val="22"/>
              </w:rPr>
              <w:t>.</w:t>
            </w:r>
          </w:p>
          <w:p w14:paraId="36DF258A" w14:textId="29AFFA06" w:rsidR="00A93792" w:rsidRDefault="00A93792" w:rsidP="005F0074">
            <w:pPr>
              <w:rPr>
                <w:rFonts w:ascii="Calibri" w:hAnsi="Calibri"/>
                <w:sz w:val="22"/>
                <w:szCs w:val="22"/>
              </w:rPr>
            </w:pPr>
          </w:p>
          <w:p w14:paraId="5F177851" w14:textId="03E54300" w:rsidR="00A93792" w:rsidRPr="000D679C" w:rsidRDefault="000D679C" w:rsidP="005F0074">
            <w:pPr>
              <w:rPr>
                <w:rFonts w:ascii="Calibri" w:hAnsi="Calibri"/>
                <w:b/>
                <w:bCs/>
                <w:sz w:val="22"/>
                <w:szCs w:val="22"/>
              </w:rPr>
            </w:pPr>
            <w:r w:rsidRPr="000D679C">
              <w:rPr>
                <w:rFonts w:ascii="Calibri" w:hAnsi="Calibri"/>
                <w:b/>
                <w:bCs/>
                <w:sz w:val="22"/>
                <w:szCs w:val="22"/>
              </w:rPr>
              <w:t>Pharmacist Interventions:</w:t>
            </w:r>
            <w:r w:rsidR="003A73D4">
              <w:rPr>
                <w:rFonts w:ascii="Calibri" w:hAnsi="Calibri"/>
                <w:b/>
                <w:bCs/>
                <w:sz w:val="22"/>
                <w:szCs w:val="22"/>
              </w:rPr>
              <w:t xml:space="preserve"> </w:t>
            </w:r>
            <w:r w:rsidR="00C02C06">
              <w:rPr>
                <w:rFonts w:ascii="Calibri" w:hAnsi="Calibri"/>
                <w:sz w:val="22"/>
                <w:szCs w:val="22"/>
              </w:rPr>
              <w:t xml:space="preserve">From April 2019 to March 2020, Towncrest provided </w:t>
            </w:r>
            <w:r w:rsidR="00572437">
              <w:rPr>
                <w:rFonts w:ascii="Calibri" w:hAnsi="Calibri"/>
                <w:sz w:val="22"/>
                <w:szCs w:val="22"/>
              </w:rPr>
              <w:t xml:space="preserve">prescription services to </w:t>
            </w:r>
            <w:r w:rsidR="00535516">
              <w:rPr>
                <w:rFonts w:ascii="Calibri" w:hAnsi="Calibri"/>
                <w:sz w:val="22"/>
                <w:szCs w:val="22"/>
              </w:rPr>
              <w:t xml:space="preserve">48 individuals who were either employees or family members. </w:t>
            </w:r>
            <w:r w:rsidR="00496761" w:rsidRPr="00496761">
              <w:rPr>
                <w:rFonts w:ascii="Calibri" w:hAnsi="Calibri"/>
                <w:sz w:val="22"/>
                <w:szCs w:val="22"/>
              </w:rPr>
              <w:t>Pharmacists documented 140 interventions</w:t>
            </w:r>
            <w:r w:rsidR="008D60E1">
              <w:rPr>
                <w:rFonts w:ascii="Calibri" w:hAnsi="Calibri"/>
                <w:sz w:val="22"/>
                <w:szCs w:val="22"/>
              </w:rPr>
              <w:t xml:space="preserve"> </w:t>
            </w:r>
            <w:r w:rsidR="00535516">
              <w:rPr>
                <w:rFonts w:ascii="Calibri" w:hAnsi="Calibri"/>
                <w:sz w:val="22"/>
                <w:szCs w:val="22"/>
              </w:rPr>
              <w:t xml:space="preserve">for 25 </w:t>
            </w:r>
            <w:r w:rsidR="004B03F9">
              <w:rPr>
                <w:rFonts w:ascii="Calibri" w:hAnsi="Calibri"/>
                <w:sz w:val="22"/>
                <w:szCs w:val="22"/>
              </w:rPr>
              <w:t xml:space="preserve">patients (52.1%) with a range of 1 </w:t>
            </w:r>
            <w:r w:rsidR="0088138F">
              <w:rPr>
                <w:rFonts w:ascii="Calibri" w:hAnsi="Calibri"/>
                <w:sz w:val="22"/>
                <w:szCs w:val="22"/>
              </w:rPr>
              <w:t>t</w:t>
            </w:r>
            <w:r w:rsidR="004B03F9">
              <w:rPr>
                <w:rFonts w:ascii="Calibri" w:hAnsi="Calibri"/>
                <w:sz w:val="22"/>
                <w:szCs w:val="22"/>
              </w:rPr>
              <w:t xml:space="preserve">o </w:t>
            </w:r>
            <w:r w:rsidR="00830C32">
              <w:rPr>
                <w:rFonts w:ascii="Calibri" w:hAnsi="Calibri"/>
                <w:sz w:val="22"/>
                <w:szCs w:val="22"/>
              </w:rPr>
              <w:t>28</w:t>
            </w:r>
            <w:r w:rsidR="0088138F">
              <w:rPr>
                <w:rFonts w:ascii="Calibri" w:hAnsi="Calibri"/>
                <w:sz w:val="22"/>
                <w:szCs w:val="22"/>
              </w:rPr>
              <w:t xml:space="preserve"> interventions</w:t>
            </w:r>
            <w:r w:rsidR="00CD4A53">
              <w:rPr>
                <w:rFonts w:ascii="Calibri" w:hAnsi="Calibri"/>
                <w:sz w:val="22"/>
                <w:szCs w:val="22"/>
              </w:rPr>
              <w:t xml:space="preserve"> </w:t>
            </w:r>
            <w:r w:rsidR="00285D45">
              <w:rPr>
                <w:rFonts w:ascii="Calibri" w:hAnsi="Calibri"/>
                <w:sz w:val="22"/>
                <w:szCs w:val="22"/>
              </w:rPr>
              <w:t>and</w:t>
            </w:r>
            <w:r w:rsidR="00CD4A53">
              <w:rPr>
                <w:rFonts w:ascii="Calibri" w:hAnsi="Calibri"/>
                <w:sz w:val="22"/>
                <w:szCs w:val="22"/>
              </w:rPr>
              <w:t xml:space="preserve"> a mean of 5.6 interventions per person with a</w:t>
            </w:r>
            <w:r w:rsidR="00285D45">
              <w:rPr>
                <w:rFonts w:ascii="Calibri" w:hAnsi="Calibri"/>
                <w:sz w:val="22"/>
                <w:szCs w:val="22"/>
              </w:rPr>
              <w:t>t least 1</w:t>
            </w:r>
            <w:r w:rsidR="00CD4A53">
              <w:rPr>
                <w:rFonts w:ascii="Calibri" w:hAnsi="Calibri"/>
                <w:sz w:val="22"/>
                <w:szCs w:val="22"/>
              </w:rPr>
              <w:t xml:space="preserve"> intervention</w:t>
            </w:r>
            <w:r w:rsidR="004B03F9">
              <w:rPr>
                <w:rFonts w:ascii="Calibri" w:hAnsi="Calibri"/>
                <w:sz w:val="22"/>
                <w:szCs w:val="22"/>
              </w:rPr>
              <w:t>.</w:t>
            </w:r>
            <w:r w:rsidR="00115F3C">
              <w:rPr>
                <w:rFonts w:ascii="Calibri" w:hAnsi="Calibri"/>
                <w:sz w:val="22"/>
                <w:szCs w:val="22"/>
              </w:rPr>
              <w:t xml:space="preserve"> This included</w:t>
            </w:r>
            <w:r w:rsidR="0088138F">
              <w:rPr>
                <w:rFonts w:ascii="Calibri" w:hAnsi="Calibri"/>
                <w:sz w:val="22"/>
                <w:szCs w:val="22"/>
              </w:rPr>
              <w:t xml:space="preserve"> identifying and addressing 72 drug therapy problems</w:t>
            </w:r>
            <w:r w:rsidR="00A55D52">
              <w:rPr>
                <w:rFonts w:ascii="Calibri" w:hAnsi="Calibri"/>
                <w:sz w:val="22"/>
                <w:szCs w:val="22"/>
              </w:rPr>
              <w:t>,</w:t>
            </w:r>
            <w:r w:rsidR="00115F3C">
              <w:rPr>
                <w:rFonts w:ascii="Calibri" w:hAnsi="Calibri"/>
                <w:sz w:val="22"/>
                <w:szCs w:val="22"/>
              </w:rPr>
              <w:t xml:space="preserve"> </w:t>
            </w:r>
            <w:r w:rsidR="00495BBA">
              <w:rPr>
                <w:rFonts w:ascii="Calibri" w:hAnsi="Calibri"/>
                <w:sz w:val="22"/>
                <w:szCs w:val="22"/>
              </w:rPr>
              <w:t xml:space="preserve">34 patient discussions, administering 4 </w:t>
            </w:r>
            <w:r w:rsidR="001A4F39">
              <w:rPr>
                <w:rFonts w:ascii="Calibri" w:hAnsi="Calibri"/>
                <w:sz w:val="22"/>
                <w:szCs w:val="22"/>
              </w:rPr>
              <w:t xml:space="preserve">immunizations, and 3 medication therapy management services. </w:t>
            </w:r>
            <w:r w:rsidR="00E15006">
              <w:rPr>
                <w:rFonts w:ascii="Calibri" w:hAnsi="Calibri"/>
                <w:sz w:val="22"/>
                <w:szCs w:val="22"/>
              </w:rPr>
              <w:t>C</w:t>
            </w:r>
            <w:r w:rsidR="008D60E1">
              <w:rPr>
                <w:rFonts w:ascii="Calibri" w:hAnsi="Calibri"/>
                <w:sz w:val="22"/>
                <w:szCs w:val="22"/>
              </w:rPr>
              <w:t>ommon drug therapy problem</w:t>
            </w:r>
            <w:r w:rsidR="00E15006">
              <w:rPr>
                <w:rFonts w:ascii="Calibri" w:hAnsi="Calibri"/>
                <w:sz w:val="22"/>
                <w:szCs w:val="22"/>
              </w:rPr>
              <w:t>s</w:t>
            </w:r>
            <w:r w:rsidR="008D60E1">
              <w:rPr>
                <w:rFonts w:ascii="Calibri" w:hAnsi="Calibri"/>
                <w:sz w:val="22"/>
                <w:szCs w:val="22"/>
              </w:rPr>
              <w:t xml:space="preserve"> </w:t>
            </w:r>
            <w:r w:rsidR="00EC7902">
              <w:rPr>
                <w:rFonts w:ascii="Calibri" w:hAnsi="Calibri"/>
                <w:sz w:val="22"/>
                <w:szCs w:val="22"/>
              </w:rPr>
              <w:t>documented</w:t>
            </w:r>
            <w:r w:rsidR="008D60E1">
              <w:rPr>
                <w:rFonts w:ascii="Calibri" w:hAnsi="Calibri"/>
                <w:sz w:val="22"/>
                <w:szCs w:val="22"/>
              </w:rPr>
              <w:t xml:space="preserve"> w</w:t>
            </w:r>
            <w:r w:rsidR="00E15006">
              <w:rPr>
                <w:rFonts w:ascii="Calibri" w:hAnsi="Calibri"/>
                <w:sz w:val="22"/>
                <w:szCs w:val="22"/>
              </w:rPr>
              <w:t>ere</w:t>
            </w:r>
            <w:r w:rsidR="008D60E1">
              <w:rPr>
                <w:rFonts w:ascii="Calibri" w:hAnsi="Calibri"/>
                <w:sz w:val="22"/>
                <w:szCs w:val="22"/>
              </w:rPr>
              <w:t xml:space="preserve"> </w:t>
            </w:r>
            <w:r w:rsidR="0088138F">
              <w:rPr>
                <w:rFonts w:ascii="Calibri" w:hAnsi="Calibri"/>
                <w:sz w:val="22"/>
                <w:szCs w:val="22"/>
              </w:rPr>
              <w:t xml:space="preserve">issues with </w:t>
            </w:r>
            <w:r w:rsidR="008D60E1">
              <w:rPr>
                <w:rFonts w:ascii="Calibri" w:hAnsi="Calibri"/>
                <w:sz w:val="22"/>
                <w:szCs w:val="22"/>
              </w:rPr>
              <w:t xml:space="preserve">medication compliance (n=37) </w:t>
            </w:r>
            <w:r w:rsidR="003069D3">
              <w:rPr>
                <w:rFonts w:ascii="Calibri" w:hAnsi="Calibri"/>
                <w:sz w:val="22"/>
                <w:szCs w:val="22"/>
              </w:rPr>
              <w:t xml:space="preserve">and therapeutic duplications (n=25). </w:t>
            </w:r>
          </w:p>
          <w:p w14:paraId="201FF7E9" w14:textId="7BD0A8A4" w:rsidR="00A93792" w:rsidRDefault="00A93792" w:rsidP="005F0074">
            <w:pPr>
              <w:rPr>
                <w:rFonts w:ascii="Calibri" w:hAnsi="Calibri"/>
                <w:sz w:val="22"/>
                <w:szCs w:val="22"/>
              </w:rPr>
            </w:pPr>
          </w:p>
          <w:p w14:paraId="0EE29B2F" w14:textId="1A5CAA4D" w:rsidR="000D679C" w:rsidRPr="00726874" w:rsidRDefault="000D679C" w:rsidP="005F0074">
            <w:pPr>
              <w:rPr>
                <w:rFonts w:ascii="Calibri" w:hAnsi="Calibri"/>
                <w:sz w:val="22"/>
                <w:szCs w:val="22"/>
              </w:rPr>
            </w:pPr>
            <w:r>
              <w:rPr>
                <w:rFonts w:ascii="Calibri" w:hAnsi="Calibri"/>
                <w:b/>
                <w:bCs/>
                <w:sz w:val="22"/>
                <w:szCs w:val="22"/>
              </w:rPr>
              <w:lastRenderedPageBreak/>
              <w:t>Employee Satisfaction:</w:t>
            </w:r>
            <w:r w:rsidR="00C91579">
              <w:rPr>
                <w:rFonts w:ascii="Calibri" w:hAnsi="Calibri"/>
                <w:b/>
                <w:bCs/>
                <w:sz w:val="22"/>
                <w:szCs w:val="22"/>
              </w:rPr>
              <w:t xml:space="preserve"> </w:t>
            </w:r>
            <w:r w:rsidR="004D717D">
              <w:rPr>
                <w:rFonts w:ascii="Calibri" w:hAnsi="Calibri"/>
                <w:sz w:val="22"/>
                <w:szCs w:val="22"/>
              </w:rPr>
              <w:t xml:space="preserve">Satisfaction surveys were mailed to 20 employees </w:t>
            </w:r>
            <w:r w:rsidR="00454A46">
              <w:rPr>
                <w:rFonts w:ascii="Calibri" w:hAnsi="Calibri"/>
                <w:sz w:val="22"/>
                <w:szCs w:val="22"/>
              </w:rPr>
              <w:t xml:space="preserve">and 9 responded (45%). </w:t>
            </w:r>
            <w:r w:rsidR="00726874">
              <w:rPr>
                <w:rFonts w:ascii="Calibri" w:hAnsi="Calibri"/>
                <w:sz w:val="22"/>
                <w:szCs w:val="22"/>
              </w:rPr>
              <w:t xml:space="preserve">Employees responding to the satisfaction survey were positive toward the service provided by Towncrest </w:t>
            </w:r>
            <w:r w:rsidR="00C4188C">
              <w:rPr>
                <w:rFonts w:ascii="Calibri" w:hAnsi="Calibri"/>
                <w:sz w:val="22"/>
                <w:szCs w:val="22"/>
              </w:rPr>
              <w:t>P</w:t>
            </w:r>
            <w:r w:rsidR="00726874">
              <w:rPr>
                <w:rFonts w:ascii="Calibri" w:hAnsi="Calibri"/>
                <w:sz w:val="22"/>
                <w:szCs w:val="22"/>
              </w:rPr>
              <w:t xml:space="preserve">harmacy pharmacists and staff including </w:t>
            </w:r>
            <w:r w:rsidR="007A6BDB">
              <w:rPr>
                <w:rFonts w:ascii="Calibri" w:hAnsi="Calibri"/>
                <w:sz w:val="22"/>
                <w:szCs w:val="22"/>
              </w:rPr>
              <w:t>reporting that staff often or always listened carefully and showed concern</w:t>
            </w:r>
            <w:r w:rsidR="00734052">
              <w:rPr>
                <w:rFonts w:ascii="Calibri" w:hAnsi="Calibri"/>
                <w:sz w:val="22"/>
                <w:szCs w:val="22"/>
              </w:rPr>
              <w:t xml:space="preserve">. </w:t>
            </w:r>
            <w:r w:rsidR="00375E36">
              <w:rPr>
                <w:rFonts w:ascii="Calibri" w:hAnsi="Calibri"/>
                <w:sz w:val="22"/>
                <w:szCs w:val="22"/>
              </w:rPr>
              <w:t>Respondents</w:t>
            </w:r>
            <w:r w:rsidR="00734052">
              <w:rPr>
                <w:rFonts w:ascii="Calibri" w:hAnsi="Calibri"/>
                <w:sz w:val="22"/>
                <w:szCs w:val="22"/>
              </w:rPr>
              <w:t xml:space="preserve"> reported </w:t>
            </w:r>
            <w:r w:rsidR="009042A3">
              <w:rPr>
                <w:rFonts w:ascii="Calibri" w:hAnsi="Calibri"/>
                <w:sz w:val="22"/>
                <w:szCs w:val="22"/>
              </w:rPr>
              <w:t xml:space="preserve">lower rates for refill than new prescription counseling </w:t>
            </w:r>
            <w:r w:rsidR="00034D90">
              <w:rPr>
                <w:rFonts w:ascii="Calibri" w:hAnsi="Calibri"/>
                <w:sz w:val="22"/>
                <w:szCs w:val="22"/>
              </w:rPr>
              <w:t>information provision, but this is not unexpected as many of the</w:t>
            </w:r>
            <w:r w:rsidR="00D830FE">
              <w:rPr>
                <w:rFonts w:ascii="Calibri" w:hAnsi="Calibri"/>
                <w:sz w:val="22"/>
                <w:szCs w:val="22"/>
              </w:rPr>
              <w:t>se patients were on long-term maintenance medications.</w:t>
            </w:r>
            <w:r w:rsidR="000C4DDA">
              <w:rPr>
                <w:rFonts w:ascii="Calibri" w:hAnsi="Calibri"/>
                <w:sz w:val="22"/>
                <w:szCs w:val="22"/>
              </w:rPr>
              <w:t xml:space="preserve"> </w:t>
            </w:r>
          </w:p>
          <w:p w14:paraId="0D3C0050" w14:textId="51E4BE53" w:rsidR="000D679C" w:rsidRDefault="000D679C" w:rsidP="005F0074">
            <w:pPr>
              <w:rPr>
                <w:rFonts w:ascii="Calibri" w:hAnsi="Calibri"/>
                <w:b/>
                <w:bCs/>
                <w:sz w:val="22"/>
                <w:szCs w:val="22"/>
              </w:rPr>
            </w:pPr>
          </w:p>
          <w:p w14:paraId="420D2691" w14:textId="5A30DB41" w:rsidR="00A93792" w:rsidRDefault="000D679C" w:rsidP="00CE40D0">
            <w:pPr>
              <w:rPr>
                <w:rFonts w:ascii="Calibri" w:hAnsi="Calibri"/>
                <w:sz w:val="22"/>
                <w:szCs w:val="22"/>
              </w:rPr>
            </w:pPr>
            <w:r>
              <w:rPr>
                <w:rFonts w:ascii="Calibri" w:hAnsi="Calibri"/>
                <w:b/>
                <w:bCs/>
                <w:sz w:val="22"/>
                <w:szCs w:val="22"/>
              </w:rPr>
              <w:t>Pharmac</w:t>
            </w:r>
            <w:r w:rsidR="0084279C">
              <w:rPr>
                <w:rFonts w:ascii="Calibri" w:hAnsi="Calibri"/>
                <w:b/>
                <w:bCs/>
                <w:sz w:val="22"/>
                <w:szCs w:val="22"/>
              </w:rPr>
              <w:t>y financial analysis</w:t>
            </w:r>
            <w:r w:rsidR="00FC7BAC">
              <w:rPr>
                <w:rFonts w:ascii="Calibri" w:hAnsi="Calibri"/>
                <w:b/>
                <w:bCs/>
                <w:sz w:val="22"/>
                <w:szCs w:val="22"/>
              </w:rPr>
              <w:t>:</w:t>
            </w:r>
            <w:r w:rsidR="00B50A25">
              <w:rPr>
                <w:rFonts w:ascii="Calibri" w:hAnsi="Calibri"/>
                <w:sz w:val="22"/>
                <w:szCs w:val="22"/>
              </w:rPr>
              <w:t xml:space="preserve"> The pharmacy received </w:t>
            </w:r>
            <w:r w:rsidR="0033101C">
              <w:rPr>
                <w:rFonts w:ascii="Calibri" w:hAnsi="Calibri"/>
                <w:sz w:val="22"/>
                <w:szCs w:val="22"/>
              </w:rPr>
              <w:t>$</w:t>
            </w:r>
            <w:r w:rsidR="00BF73BD">
              <w:rPr>
                <w:rFonts w:ascii="Calibri" w:hAnsi="Calibri"/>
                <w:sz w:val="22"/>
                <w:szCs w:val="22"/>
              </w:rPr>
              <w:t>22,949 in revenue from prescriptions through the direct contract</w:t>
            </w:r>
            <w:r w:rsidR="00C177FF">
              <w:rPr>
                <w:rFonts w:ascii="Calibri" w:hAnsi="Calibri"/>
                <w:sz w:val="22"/>
                <w:szCs w:val="22"/>
              </w:rPr>
              <w:t xml:space="preserve"> and </w:t>
            </w:r>
            <w:r w:rsidR="00DF2FE9">
              <w:rPr>
                <w:rFonts w:ascii="Calibri" w:hAnsi="Calibri"/>
                <w:sz w:val="22"/>
                <w:szCs w:val="22"/>
              </w:rPr>
              <w:t xml:space="preserve">had </w:t>
            </w:r>
            <w:r w:rsidR="00C177FF">
              <w:rPr>
                <w:rFonts w:ascii="Calibri" w:hAnsi="Calibri"/>
                <w:sz w:val="22"/>
                <w:szCs w:val="22"/>
              </w:rPr>
              <w:t xml:space="preserve">costs of </w:t>
            </w:r>
            <w:r w:rsidR="00DF2FE9">
              <w:rPr>
                <w:rFonts w:ascii="Calibri" w:hAnsi="Calibri"/>
                <w:sz w:val="22"/>
                <w:szCs w:val="22"/>
              </w:rPr>
              <w:t>$</w:t>
            </w:r>
            <w:r w:rsidR="00C177FF">
              <w:rPr>
                <w:rFonts w:ascii="Calibri" w:hAnsi="Calibri"/>
                <w:sz w:val="22"/>
                <w:szCs w:val="22"/>
              </w:rPr>
              <w:t xml:space="preserve">22,050 for a net profit of </w:t>
            </w:r>
            <w:r w:rsidR="00DF2FE9">
              <w:rPr>
                <w:rFonts w:ascii="Calibri" w:hAnsi="Calibri"/>
                <w:sz w:val="22"/>
                <w:szCs w:val="22"/>
              </w:rPr>
              <w:t>$</w:t>
            </w:r>
            <w:r w:rsidR="00C177FF">
              <w:rPr>
                <w:rFonts w:ascii="Calibri" w:hAnsi="Calibri"/>
                <w:sz w:val="22"/>
                <w:szCs w:val="22"/>
              </w:rPr>
              <w:t xml:space="preserve">899 for 412 prescriptions over 6 months. </w:t>
            </w:r>
            <w:r w:rsidR="00AE64E8">
              <w:rPr>
                <w:rFonts w:ascii="Calibri" w:hAnsi="Calibri"/>
                <w:sz w:val="22"/>
                <w:szCs w:val="22"/>
              </w:rPr>
              <w:t>This is a conservative estimate of profit</w:t>
            </w:r>
            <w:r w:rsidR="00FE3626">
              <w:rPr>
                <w:rFonts w:ascii="Calibri" w:hAnsi="Calibri"/>
                <w:sz w:val="22"/>
                <w:szCs w:val="22"/>
              </w:rPr>
              <w:t xml:space="preserve"> and does not include </w:t>
            </w:r>
            <w:r w:rsidR="006F2BE9">
              <w:rPr>
                <w:rFonts w:ascii="Calibri" w:hAnsi="Calibri"/>
                <w:sz w:val="22"/>
                <w:szCs w:val="22"/>
              </w:rPr>
              <w:t>wholesaler rebates. Also,</w:t>
            </w:r>
            <w:r w:rsidR="00AE64E8">
              <w:rPr>
                <w:rFonts w:ascii="Calibri" w:hAnsi="Calibri"/>
                <w:sz w:val="22"/>
                <w:szCs w:val="22"/>
              </w:rPr>
              <w:t xml:space="preserve"> </w:t>
            </w:r>
            <w:r w:rsidR="00DF2FE9">
              <w:rPr>
                <w:rFonts w:ascii="Calibri" w:hAnsi="Calibri"/>
                <w:sz w:val="22"/>
                <w:szCs w:val="22"/>
              </w:rPr>
              <w:t>$</w:t>
            </w:r>
            <w:r w:rsidR="00365C10">
              <w:rPr>
                <w:rFonts w:ascii="Calibri" w:hAnsi="Calibri"/>
                <w:sz w:val="22"/>
                <w:szCs w:val="22"/>
              </w:rPr>
              <w:t xml:space="preserve">4,944 of the cost was the cost of dispensing </w:t>
            </w:r>
            <w:r w:rsidR="007E3F46">
              <w:rPr>
                <w:rFonts w:ascii="Calibri" w:hAnsi="Calibri"/>
                <w:sz w:val="22"/>
                <w:szCs w:val="22"/>
              </w:rPr>
              <w:t>(</w:t>
            </w:r>
            <w:r w:rsidR="00DF2FE9">
              <w:rPr>
                <w:rFonts w:ascii="Calibri" w:hAnsi="Calibri"/>
                <w:sz w:val="22"/>
                <w:szCs w:val="22"/>
              </w:rPr>
              <w:t>$</w:t>
            </w:r>
            <w:r w:rsidR="007E3F46">
              <w:rPr>
                <w:rFonts w:ascii="Calibri" w:hAnsi="Calibri"/>
                <w:sz w:val="22"/>
                <w:szCs w:val="22"/>
              </w:rPr>
              <w:t xml:space="preserve">9.82 </w:t>
            </w:r>
            <w:r w:rsidR="00D52E88">
              <w:rPr>
                <w:rFonts w:ascii="Calibri" w:hAnsi="Calibri"/>
                <w:sz w:val="22"/>
                <w:szCs w:val="22"/>
              </w:rPr>
              <w:t>per prescription</w:t>
            </w:r>
            <w:r w:rsidR="007E3F46">
              <w:rPr>
                <w:rFonts w:ascii="Calibri" w:hAnsi="Calibri"/>
                <w:sz w:val="22"/>
                <w:szCs w:val="22"/>
              </w:rPr>
              <w:t>)</w:t>
            </w:r>
            <w:r w:rsidR="00624B49">
              <w:rPr>
                <w:rFonts w:ascii="Calibri" w:hAnsi="Calibri"/>
                <w:sz w:val="22"/>
                <w:szCs w:val="22"/>
              </w:rPr>
              <w:t xml:space="preserve"> which covers</w:t>
            </w:r>
            <w:r w:rsidR="00EB4E76">
              <w:rPr>
                <w:rFonts w:ascii="Calibri" w:hAnsi="Calibri"/>
                <w:sz w:val="22"/>
                <w:szCs w:val="22"/>
              </w:rPr>
              <w:t xml:space="preserve"> </w:t>
            </w:r>
            <w:r w:rsidR="00D52E88">
              <w:rPr>
                <w:rFonts w:ascii="Calibri" w:hAnsi="Calibri"/>
                <w:sz w:val="22"/>
                <w:szCs w:val="22"/>
              </w:rPr>
              <w:t>pharmacist</w:t>
            </w:r>
            <w:r w:rsidR="00624B49">
              <w:rPr>
                <w:rFonts w:ascii="Calibri" w:hAnsi="Calibri"/>
                <w:sz w:val="22"/>
                <w:szCs w:val="22"/>
              </w:rPr>
              <w:t xml:space="preserve"> </w:t>
            </w:r>
            <w:r w:rsidR="00EB4E76">
              <w:rPr>
                <w:rFonts w:ascii="Calibri" w:hAnsi="Calibri"/>
                <w:sz w:val="22"/>
                <w:szCs w:val="22"/>
              </w:rPr>
              <w:t>salaries</w:t>
            </w:r>
            <w:r w:rsidR="00624B49">
              <w:rPr>
                <w:rFonts w:ascii="Calibri" w:hAnsi="Calibri"/>
                <w:sz w:val="22"/>
                <w:szCs w:val="22"/>
              </w:rPr>
              <w:t>, overhead</w:t>
            </w:r>
            <w:r w:rsidR="00EB4E76">
              <w:rPr>
                <w:rFonts w:ascii="Calibri" w:hAnsi="Calibri"/>
                <w:sz w:val="22"/>
                <w:szCs w:val="22"/>
              </w:rPr>
              <w:t>,</w:t>
            </w:r>
            <w:r w:rsidR="00624B49">
              <w:rPr>
                <w:rFonts w:ascii="Calibri" w:hAnsi="Calibri"/>
                <w:sz w:val="22"/>
                <w:szCs w:val="22"/>
              </w:rPr>
              <w:t xml:space="preserve"> and other expenses</w:t>
            </w:r>
            <w:r w:rsidR="00EB4E76">
              <w:rPr>
                <w:rFonts w:ascii="Calibri" w:hAnsi="Calibri"/>
                <w:sz w:val="22"/>
                <w:szCs w:val="22"/>
              </w:rPr>
              <w:t xml:space="preserve">. </w:t>
            </w:r>
            <w:r w:rsidR="001F390B" w:rsidRPr="001F390B">
              <w:rPr>
                <w:rFonts w:ascii="Calibri" w:hAnsi="Calibri"/>
                <w:sz w:val="22"/>
                <w:szCs w:val="22"/>
              </w:rPr>
              <w:t>This reimbursement for cost of dispensing greatly exceeds the $2 (or lower) cost of dispensing in many PBM contracts. The direct contract also avoided common problem with PBM contracts such as reimbursement below the drug acquisition cost, retrospective negative adjustments to pharmacy payments, and audits.</w:t>
            </w:r>
          </w:p>
          <w:p w14:paraId="3623EAC6" w14:textId="1AF27005" w:rsidR="00D5146F" w:rsidRDefault="00D5146F" w:rsidP="00CE40D0">
            <w:pPr>
              <w:rPr>
                <w:rFonts w:ascii="Calibri" w:hAnsi="Calibri"/>
                <w:sz w:val="22"/>
                <w:szCs w:val="22"/>
              </w:rPr>
            </w:pPr>
          </w:p>
          <w:p w14:paraId="61C02B3C" w14:textId="39895AE0" w:rsidR="00D5146F" w:rsidRPr="00D5146F" w:rsidRDefault="00D5146F" w:rsidP="00CE40D0">
            <w:pPr>
              <w:rPr>
                <w:rFonts w:ascii="Calibri" w:hAnsi="Calibri"/>
                <w:sz w:val="22"/>
                <w:szCs w:val="22"/>
              </w:rPr>
            </w:pPr>
            <w:r>
              <w:rPr>
                <w:rFonts w:ascii="Calibri" w:hAnsi="Calibri"/>
                <w:b/>
                <w:bCs/>
                <w:sz w:val="22"/>
                <w:szCs w:val="22"/>
              </w:rPr>
              <w:t>Stakeholder interviews:</w:t>
            </w:r>
            <w:r>
              <w:rPr>
                <w:rFonts w:ascii="Calibri" w:hAnsi="Calibri"/>
                <w:sz w:val="22"/>
                <w:szCs w:val="22"/>
              </w:rPr>
              <w:t xml:space="preserve"> Stakeholders including </w:t>
            </w:r>
            <w:r w:rsidR="00EE2D08">
              <w:rPr>
                <w:rFonts w:ascii="Calibri" w:hAnsi="Calibri"/>
                <w:sz w:val="22"/>
                <w:szCs w:val="22"/>
              </w:rPr>
              <w:t xml:space="preserve">the owner, the insurance agent, and other experts in prescription financing </w:t>
            </w:r>
            <w:r w:rsidR="008E6A84">
              <w:rPr>
                <w:rFonts w:ascii="Calibri" w:hAnsi="Calibri"/>
                <w:sz w:val="22"/>
                <w:szCs w:val="22"/>
              </w:rPr>
              <w:t xml:space="preserve">offered important insights which informed the playbook. </w:t>
            </w:r>
            <w:r w:rsidR="00BD069F">
              <w:rPr>
                <w:rFonts w:ascii="Calibri" w:hAnsi="Calibri"/>
                <w:sz w:val="22"/>
                <w:szCs w:val="22"/>
              </w:rPr>
              <w:t xml:space="preserve">This included details about the </w:t>
            </w:r>
            <w:r w:rsidR="00675E63">
              <w:rPr>
                <w:rFonts w:ascii="Calibri" w:hAnsi="Calibri"/>
                <w:sz w:val="22"/>
                <w:szCs w:val="22"/>
              </w:rPr>
              <w:t xml:space="preserve">importance of </w:t>
            </w:r>
            <w:r w:rsidR="00122DE0">
              <w:rPr>
                <w:rFonts w:ascii="Calibri" w:hAnsi="Calibri"/>
                <w:sz w:val="22"/>
                <w:szCs w:val="22"/>
              </w:rPr>
              <w:t xml:space="preserve">taking a long view on employee health costs and not spending </w:t>
            </w:r>
            <w:r w:rsidR="001F390B">
              <w:rPr>
                <w:rFonts w:ascii="Calibri" w:hAnsi="Calibri"/>
                <w:sz w:val="22"/>
                <w:szCs w:val="22"/>
              </w:rPr>
              <w:t>savings but</w:t>
            </w:r>
            <w:r w:rsidR="001B01E4">
              <w:rPr>
                <w:rFonts w:ascii="Calibri" w:hAnsi="Calibri"/>
                <w:sz w:val="22"/>
                <w:szCs w:val="22"/>
              </w:rPr>
              <w:t xml:space="preserve"> retaining them for future expenses. Also, it may </w:t>
            </w:r>
            <w:r w:rsidR="007D3515">
              <w:rPr>
                <w:rFonts w:ascii="Calibri" w:hAnsi="Calibri"/>
                <w:sz w:val="22"/>
                <w:szCs w:val="22"/>
              </w:rPr>
              <w:t xml:space="preserve">be challenging to convince </w:t>
            </w:r>
            <w:r w:rsidR="00EF3D61">
              <w:rPr>
                <w:rFonts w:ascii="Calibri" w:hAnsi="Calibri"/>
                <w:sz w:val="22"/>
                <w:szCs w:val="22"/>
              </w:rPr>
              <w:t xml:space="preserve">persons in </w:t>
            </w:r>
            <w:r w:rsidR="007D3515">
              <w:rPr>
                <w:rFonts w:ascii="Calibri" w:hAnsi="Calibri"/>
                <w:sz w:val="22"/>
                <w:szCs w:val="22"/>
              </w:rPr>
              <w:t xml:space="preserve">management responsible for </w:t>
            </w:r>
            <w:r w:rsidR="00EF3D61">
              <w:rPr>
                <w:rFonts w:ascii="Calibri" w:hAnsi="Calibri"/>
                <w:sz w:val="22"/>
                <w:szCs w:val="22"/>
              </w:rPr>
              <w:t xml:space="preserve">making health coverage decisions to abandon </w:t>
            </w:r>
            <w:r w:rsidR="001C429A">
              <w:rPr>
                <w:rFonts w:ascii="Calibri" w:hAnsi="Calibri"/>
                <w:sz w:val="22"/>
                <w:szCs w:val="22"/>
              </w:rPr>
              <w:t xml:space="preserve">their all-in-one health and prescription benefit for </w:t>
            </w:r>
            <w:r w:rsidR="005F65E5">
              <w:rPr>
                <w:rFonts w:ascii="Calibri" w:hAnsi="Calibri"/>
                <w:sz w:val="22"/>
                <w:szCs w:val="22"/>
              </w:rPr>
              <w:t xml:space="preserve">an un-bundled approach. </w:t>
            </w:r>
            <w:r w:rsidR="001F390B">
              <w:rPr>
                <w:rFonts w:ascii="Calibri" w:hAnsi="Calibri"/>
                <w:sz w:val="22"/>
                <w:szCs w:val="22"/>
              </w:rPr>
              <w:t xml:space="preserve">Other important topics to discuss include the </w:t>
            </w:r>
            <w:r w:rsidR="00582C8F">
              <w:rPr>
                <w:rFonts w:ascii="Calibri" w:hAnsi="Calibri"/>
                <w:sz w:val="22"/>
                <w:szCs w:val="22"/>
              </w:rPr>
              <w:t>role of stop-loss insurance</w:t>
            </w:r>
            <w:r w:rsidR="001F390B">
              <w:rPr>
                <w:rFonts w:ascii="Calibri" w:hAnsi="Calibri"/>
                <w:sz w:val="22"/>
                <w:szCs w:val="22"/>
              </w:rPr>
              <w:t>,</w:t>
            </w:r>
            <w:r w:rsidR="00582C8F">
              <w:rPr>
                <w:rFonts w:ascii="Calibri" w:hAnsi="Calibri"/>
                <w:sz w:val="22"/>
                <w:szCs w:val="22"/>
              </w:rPr>
              <w:t xml:space="preserve"> </w:t>
            </w:r>
            <w:r w:rsidR="00287E9C">
              <w:rPr>
                <w:rFonts w:ascii="Calibri" w:hAnsi="Calibri"/>
                <w:sz w:val="22"/>
                <w:szCs w:val="22"/>
              </w:rPr>
              <w:t xml:space="preserve">engaging the pharmacy in </w:t>
            </w:r>
            <w:r w:rsidR="003C1EE5">
              <w:rPr>
                <w:rFonts w:ascii="Calibri" w:hAnsi="Calibri"/>
                <w:sz w:val="22"/>
                <w:szCs w:val="22"/>
              </w:rPr>
              <w:t>promoting employee health and appropriate medication</w:t>
            </w:r>
            <w:r w:rsidR="001F390B">
              <w:rPr>
                <w:rFonts w:ascii="Calibri" w:hAnsi="Calibri"/>
                <w:sz w:val="22"/>
                <w:szCs w:val="22"/>
              </w:rPr>
              <w:t xml:space="preserve"> use, and the implications for rebates and specialty medications</w:t>
            </w:r>
            <w:r w:rsidR="003C1EE5">
              <w:rPr>
                <w:rFonts w:ascii="Calibri" w:hAnsi="Calibri"/>
                <w:sz w:val="22"/>
                <w:szCs w:val="22"/>
              </w:rPr>
              <w:t xml:space="preserve">. </w:t>
            </w:r>
            <w:r w:rsidR="00364B50">
              <w:rPr>
                <w:rFonts w:ascii="Calibri" w:hAnsi="Calibri"/>
                <w:sz w:val="22"/>
                <w:szCs w:val="22"/>
              </w:rPr>
              <w:t xml:space="preserve">Lastly, the most important </w:t>
            </w:r>
            <w:r w:rsidR="00165CA8">
              <w:rPr>
                <w:rFonts w:ascii="Calibri" w:hAnsi="Calibri"/>
                <w:sz w:val="22"/>
                <w:szCs w:val="22"/>
              </w:rPr>
              <w:t xml:space="preserve">part of this arrangement </w:t>
            </w:r>
            <w:r w:rsidR="001F390B">
              <w:rPr>
                <w:rFonts w:ascii="Calibri" w:hAnsi="Calibri"/>
                <w:sz w:val="22"/>
                <w:szCs w:val="22"/>
              </w:rPr>
              <w:t>was</w:t>
            </w:r>
            <w:r w:rsidR="00165CA8">
              <w:rPr>
                <w:rFonts w:ascii="Calibri" w:hAnsi="Calibri"/>
                <w:sz w:val="22"/>
                <w:szCs w:val="22"/>
              </w:rPr>
              <w:t xml:space="preserve"> the </w:t>
            </w:r>
            <w:r w:rsidR="00333043">
              <w:rPr>
                <w:rFonts w:ascii="Calibri" w:hAnsi="Calibri"/>
                <w:sz w:val="22"/>
                <w:szCs w:val="22"/>
              </w:rPr>
              <w:t xml:space="preserve">employer and </w:t>
            </w:r>
            <w:r w:rsidR="00721AF0">
              <w:rPr>
                <w:rFonts w:ascii="Calibri" w:hAnsi="Calibri"/>
                <w:sz w:val="22"/>
                <w:szCs w:val="22"/>
              </w:rPr>
              <w:t xml:space="preserve">pharmacy coming together </w:t>
            </w:r>
            <w:r w:rsidR="006B3E7F">
              <w:rPr>
                <w:rFonts w:ascii="Calibri" w:hAnsi="Calibri"/>
                <w:sz w:val="22"/>
                <w:szCs w:val="22"/>
              </w:rPr>
              <w:t>to establish</w:t>
            </w:r>
            <w:r w:rsidR="00721AF0">
              <w:rPr>
                <w:rFonts w:ascii="Calibri" w:hAnsi="Calibri"/>
                <w:sz w:val="22"/>
                <w:szCs w:val="22"/>
              </w:rPr>
              <w:t xml:space="preserve"> sustainable payment for pharmacy services</w:t>
            </w:r>
            <w:r w:rsidR="00771265">
              <w:rPr>
                <w:rFonts w:ascii="Calibri" w:hAnsi="Calibri"/>
                <w:sz w:val="22"/>
                <w:szCs w:val="22"/>
              </w:rPr>
              <w:t>. In th</w:t>
            </w:r>
            <w:r w:rsidR="001F390B">
              <w:rPr>
                <w:rFonts w:ascii="Calibri" w:hAnsi="Calibri"/>
                <w:sz w:val="22"/>
                <w:szCs w:val="22"/>
              </w:rPr>
              <w:t>is direct contract case study</w:t>
            </w:r>
            <w:r w:rsidR="00771265">
              <w:rPr>
                <w:rFonts w:ascii="Calibri" w:hAnsi="Calibri"/>
                <w:sz w:val="22"/>
                <w:szCs w:val="22"/>
              </w:rPr>
              <w:t>, the dispensing fee cover</w:t>
            </w:r>
            <w:r w:rsidR="001F390B">
              <w:rPr>
                <w:rFonts w:ascii="Calibri" w:hAnsi="Calibri"/>
                <w:sz w:val="22"/>
                <w:szCs w:val="22"/>
              </w:rPr>
              <w:t>ed</w:t>
            </w:r>
            <w:r w:rsidR="00771265">
              <w:rPr>
                <w:rFonts w:ascii="Calibri" w:hAnsi="Calibri"/>
                <w:sz w:val="22"/>
                <w:szCs w:val="22"/>
              </w:rPr>
              <w:t xml:space="preserve"> the pharmacy services</w:t>
            </w:r>
            <w:r w:rsidR="00FC5D92">
              <w:rPr>
                <w:rFonts w:ascii="Calibri" w:hAnsi="Calibri"/>
                <w:sz w:val="22"/>
                <w:szCs w:val="22"/>
              </w:rPr>
              <w:t xml:space="preserve"> to employees</w:t>
            </w:r>
            <w:r w:rsidR="00771265">
              <w:rPr>
                <w:rFonts w:ascii="Calibri" w:hAnsi="Calibri"/>
                <w:sz w:val="22"/>
                <w:szCs w:val="22"/>
              </w:rPr>
              <w:t xml:space="preserve">. </w:t>
            </w:r>
            <w:r w:rsidR="001F390B">
              <w:rPr>
                <w:rFonts w:ascii="Calibri" w:hAnsi="Calibri"/>
                <w:sz w:val="22"/>
                <w:szCs w:val="22"/>
              </w:rPr>
              <w:t xml:space="preserve">The cost-savings realized by the employer through the direct contract help the employer commit to </w:t>
            </w:r>
            <w:r w:rsidR="001F390B">
              <w:rPr>
                <w:rFonts w:ascii="Calibri" w:hAnsi="Calibri"/>
                <w:sz w:val="22"/>
                <w:szCs w:val="22"/>
              </w:rPr>
              <w:t>the arrangement that allowed employees to receive</w:t>
            </w:r>
            <w:r w:rsidR="001F390B">
              <w:rPr>
                <w:rFonts w:ascii="Calibri" w:hAnsi="Calibri"/>
                <w:sz w:val="22"/>
                <w:szCs w:val="22"/>
              </w:rPr>
              <w:t xml:space="preserve"> services from the pharmacy. </w:t>
            </w:r>
            <w:r w:rsidR="001F390B">
              <w:rPr>
                <w:rFonts w:ascii="Calibri" w:hAnsi="Calibri"/>
                <w:sz w:val="22"/>
                <w:szCs w:val="22"/>
              </w:rPr>
              <w:t xml:space="preserve">Stakeholders discussed </w:t>
            </w:r>
            <w:r w:rsidR="0055047D">
              <w:rPr>
                <w:rFonts w:ascii="Calibri" w:hAnsi="Calibri"/>
                <w:sz w:val="22"/>
                <w:szCs w:val="22"/>
              </w:rPr>
              <w:t xml:space="preserve">other approaches </w:t>
            </w:r>
            <w:r w:rsidR="001F390B">
              <w:rPr>
                <w:rFonts w:ascii="Calibri" w:hAnsi="Calibri"/>
                <w:sz w:val="22"/>
                <w:szCs w:val="22"/>
              </w:rPr>
              <w:t xml:space="preserve">where </w:t>
            </w:r>
            <w:r w:rsidR="005604CC">
              <w:rPr>
                <w:rFonts w:ascii="Calibri" w:hAnsi="Calibri"/>
                <w:sz w:val="22"/>
                <w:szCs w:val="22"/>
              </w:rPr>
              <w:t xml:space="preserve">employers </w:t>
            </w:r>
            <w:r w:rsidR="001F390B">
              <w:rPr>
                <w:rFonts w:ascii="Calibri" w:hAnsi="Calibri"/>
                <w:sz w:val="22"/>
                <w:szCs w:val="22"/>
              </w:rPr>
              <w:t>pay specifically for</w:t>
            </w:r>
            <w:r w:rsidR="007B5E6B">
              <w:rPr>
                <w:rFonts w:ascii="Calibri" w:hAnsi="Calibri"/>
                <w:sz w:val="22"/>
                <w:szCs w:val="22"/>
              </w:rPr>
              <w:t xml:space="preserve"> pharmacy services</w:t>
            </w:r>
            <w:r w:rsidR="001F390B">
              <w:rPr>
                <w:rFonts w:ascii="Calibri" w:hAnsi="Calibri"/>
                <w:sz w:val="22"/>
                <w:szCs w:val="22"/>
              </w:rPr>
              <w:t xml:space="preserve"> rather than having them bundled with cost of dispensing</w:t>
            </w:r>
            <w:r w:rsidR="00045520">
              <w:rPr>
                <w:rFonts w:ascii="Calibri" w:hAnsi="Calibri"/>
                <w:sz w:val="22"/>
                <w:szCs w:val="22"/>
              </w:rPr>
              <w:t xml:space="preserve">. </w:t>
            </w:r>
          </w:p>
          <w:p w14:paraId="69603694" w14:textId="2BADB533" w:rsidR="00CE40D0" w:rsidRPr="00F848E1" w:rsidRDefault="00CE40D0" w:rsidP="00CE40D0">
            <w:pPr>
              <w:rPr>
                <w:rFonts w:ascii="Calibri" w:hAnsi="Calibri"/>
                <w:sz w:val="22"/>
                <w:szCs w:val="22"/>
              </w:rPr>
            </w:pPr>
          </w:p>
        </w:tc>
      </w:tr>
      <w:tr w:rsidR="00400813" w14:paraId="22343233" w14:textId="77777777" w:rsidTr="004B6816">
        <w:tc>
          <w:tcPr>
            <w:tcW w:w="10790" w:type="dxa"/>
            <w:shd w:val="clear" w:color="auto" w:fill="CCCCCC"/>
          </w:tcPr>
          <w:p w14:paraId="3C40EF96" w14:textId="77777777" w:rsidR="00400813" w:rsidRPr="00644BB7" w:rsidRDefault="00400813" w:rsidP="00032C31">
            <w:pPr>
              <w:jc w:val="center"/>
              <w:rPr>
                <w:rFonts w:ascii="Raleway" w:hAnsi="Raleway"/>
                <w:sz w:val="22"/>
                <w:szCs w:val="22"/>
              </w:rPr>
            </w:pPr>
            <w:r w:rsidRPr="00644BB7">
              <w:rPr>
                <w:rFonts w:ascii="Raleway" w:hAnsi="Raleway"/>
                <w:b/>
                <w:sz w:val="22"/>
                <w:szCs w:val="22"/>
              </w:rPr>
              <w:lastRenderedPageBreak/>
              <w:t>Conclusion</w:t>
            </w:r>
          </w:p>
        </w:tc>
      </w:tr>
      <w:tr w:rsidR="00D10FEC" w14:paraId="0BBB943B" w14:textId="77777777" w:rsidTr="004B6816">
        <w:tc>
          <w:tcPr>
            <w:tcW w:w="10790" w:type="dxa"/>
            <w:shd w:val="clear" w:color="auto" w:fill="auto"/>
          </w:tcPr>
          <w:p w14:paraId="76A499A3" w14:textId="77777777" w:rsidR="00A7506F" w:rsidRDefault="00A7506F" w:rsidP="00A7506F">
            <w:pPr>
              <w:pStyle w:val="ListParagraph"/>
              <w:autoSpaceDE w:val="0"/>
              <w:autoSpaceDN w:val="0"/>
              <w:adjustRightInd w:val="0"/>
              <w:spacing w:after="0" w:line="240" w:lineRule="auto"/>
              <w:ind w:left="65"/>
              <w:rPr>
                <w:rFonts w:cstheme="minorHAnsi"/>
              </w:rPr>
            </w:pPr>
          </w:p>
          <w:p w14:paraId="789C75BC" w14:textId="5041B86E" w:rsidR="00A7506F" w:rsidRDefault="00484D5F" w:rsidP="00A7506F">
            <w:pPr>
              <w:pStyle w:val="ListParagraph"/>
              <w:autoSpaceDE w:val="0"/>
              <w:autoSpaceDN w:val="0"/>
              <w:adjustRightInd w:val="0"/>
              <w:spacing w:after="0" w:line="240" w:lineRule="auto"/>
              <w:ind w:left="65"/>
              <w:rPr>
                <w:rFonts w:cstheme="minorHAnsi"/>
              </w:rPr>
            </w:pPr>
            <w:r>
              <w:rPr>
                <w:rFonts w:cstheme="minorHAnsi"/>
              </w:rPr>
              <w:t xml:space="preserve">Overall, this analysis demonstrated that the employer achieved significant cost savings through the direct contract </w:t>
            </w:r>
            <w:r w:rsidR="007B664B">
              <w:rPr>
                <w:rFonts w:cstheme="minorHAnsi"/>
              </w:rPr>
              <w:t xml:space="preserve">compared to their previous contract with </w:t>
            </w:r>
            <w:r w:rsidR="00FF23C0">
              <w:rPr>
                <w:rFonts w:cstheme="minorHAnsi"/>
              </w:rPr>
              <w:t xml:space="preserve">a </w:t>
            </w:r>
            <w:r w:rsidR="007B664B">
              <w:rPr>
                <w:rFonts w:cstheme="minorHAnsi"/>
              </w:rPr>
              <w:t xml:space="preserve">PBM. </w:t>
            </w:r>
            <w:r w:rsidR="00FF23C0">
              <w:rPr>
                <w:rFonts w:cstheme="minorHAnsi"/>
              </w:rPr>
              <w:t>Further, the employees that transferred their prescriptio</w:t>
            </w:r>
            <w:r w:rsidR="00203F64">
              <w:rPr>
                <w:rFonts w:cstheme="minorHAnsi"/>
              </w:rPr>
              <w:t>ns to Towncrest had the benefit of close monitoring and clinical intervention by the pharmacists at Towncrest</w:t>
            </w:r>
            <w:r w:rsidR="00266F1A">
              <w:rPr>
                <w:rFonts w:cstheme="minorHAnsi"/>
              </w:rPr>
              <w:t xml:space="preserve"> as </w:t>
            </w:r>
            <w:r w:rsidR="00884E3E">
              <w:rPr>
                <w:rFonts w:cstheme="minorHAnsi"/>
              </w:rPr>
              <w:t>evidenced</w:t>
            </w:r>
            <w:r w:rsidR="00266F1A">
              <w:rPr>
                <w:rFonts w:cstheme="minorHAnsi"/>
              </w:rPr>
              <w:t xml:space="preserve"> by the </w:t>
            </w:r>
            <w:r w:rsidR="001E061C">
              <w:rPr>
                <w:rFonts w:cstheme="minorHAnsi"/>
              </w:rPr>
              <w:t>140</w:t>
            </w:r>
            <w:r w:rsidR="00266F1A">
              <w:rPr>
                <w:rFonts w:cstheme="minorHAnsi"/>
              </w:rPr>
              <w:t xml:space="preserve"> pharmacist interventions </w:t>
            </w:r>
            <w:r w:rsidR="004D6ECB">
              <w:rPr>
                <w:rFonts w:cstheme="minorHAnsi"/>
              </w:rPr>
              <w:t xml:space="preserve">for 25 of the 48 employees </w:t>
            </w:r>
            <w:r w:rsidR="00266F1A">
              <w:rPr>
                <w:rFonts w:cstheme="minorHAnsi"/>
              </w:rPr>
              <w:t xml:space="preserve">over a </w:t>
            </w:r>
            <w:r w:rsidR="008F5A6F">
              <w:rPr>
                <w:rFonts w:cstheme="minorHAnsi"/>
              </w:rPr>
              <w:t>12-month</w:t>
            </w:r>
            <w:r w:rsidR="00266F1A">
              <w:rPr>
                <w:rFonts w:cstheme="minorHAnsi"/>
              </w:rPr>
              <w:t xml:space="preserve"> period</w:t>
            </w:r>
            <w:r w:rsidR="008F5A6F">
              <w:rPr>
                <w:rFonts w:cstheme="minorHAnsi"/>
              </w:rPr>
              <w:t>.</w:t>
            </w:r>
            <w:r w:rsidR="0095415E">
              <w:rPr>
                <w:rFonts w:cstheme="minorHAnsi"/>
              </w:rPr>
              <w:t xml:space="preserve"> Five of these employees received 12 or more interventions each</w:t>
            </w:r>
            <w:r w:rsidR="00CF4396">
              <w:rPr>
                <w:rFonts w:cstheme="minorHAnsi"/>
              </w:rPr>
              <w:t>.</w:t>
            </w:r>
            <w:r w:rsidR="00F77D69">
              <w:rPr>
                <w:rFonts w:cstheme="minorHAnsi"/>
              </w:rPr>
              <w:t xml:space="preserve"> </w:t>
            </w:r>
            <w:r w:rsidR="00EA100C">
              <w:rPr>
                <w:rFonts w:cstheme="minorHAnsi"/>
              </w:rPr>
              <w:t xml:space="preserve">Employees were generally pleased with the service provided by Towncrest </w:t>
            </w:r>
            <w:r w:rsidR="005822C8">
              <w:rPr>
                <w:rFonts w:cstheme="minorHAnsi"/>
              </w:rPr>
              <w:t xml:space="preserve">and found many aspects of using Towncrest to be equivalent or better than their previous pharmacy. </w:t>
            </w:r>
            <w:r w:rsidR="00606509">
              <w:rPr>
                <w:rFonts w:cstheme="minorHAnsi"/>
              </w:rPr>
              <w:t xml:space="preserve">There appears to be room for the employees to engage more with the clinically oriented services provided as part of the direct contract as use was initially low. This may increase over time as patients become more used to the </w:t>
            </w:r>
            <w:r w:rsidR="003B75E3">
              <w:rPr>
                <w:rFonts w:cstheme="minorHAnsi"/>
              </w:rPr>
              <w:t xml:space="preserve">pharmacy and </w:t>
            </w:r>
            <w:r w:rsidR="0003603B">
              <w:rPr>
                <w:rFonts w:cstheme="minorHAnsi"/>
              </w:rPr>
              <w:t>its</w:t>
            </w:r>
            <w:r w:rsidR="003B75E3">
              <w:rPr>
                <w:rFonts w:cstheme="minorHAnsi"/>
              </w:rPr>
              <w:t xml:space="preserve"> offerings. </w:t>
            </w:r>
            <w:r w:rsidR="00236F95">
              <w:rPr>
                <w:rFonts w:cstheme="minorHAnsi"/>
              </w:rPr>
              <w:t xml:space="preserve">The </w:t>
            </w:r>
            <w:r w:rsidR="001F390B">
              <w:rPr>
                <w:rFonts w:cstheme="minorHAnsi"/>
              </w:rPr>
              <w:t>employer</w:t>
            </w:r>
            <w:r w:rsidR="00236F95">
              <w:rPr>
                <w:rFonts w:cstheme="minorHAnsi"/>
              </w:rPr>
              <w:t xml:space="preserve"> remains positive about the arrangement with Towncrest for direct contracting prescriptions and is looking to further incentivize more employees to switch to Towncrest to maximize prescription savings and </w:t>
            </w:r>
            <w:r w:rsidR="000476BE">
              <w:rPr>
                <w:rFonts w:cstheme="minorHAnsi"/>
              </w:rPr>
              <w:t>improve the</w:t>
            </w:r>
            <w:r w:rsidR="00C20637">
              <w:rPr>
                <w:rFonts w:cstheme="minorHAnsi"/>
              </w:rPr>
              <w:t xml:space="preserve"> medication use by employees through Towncrest Pharmacy’s approach to Continuous Medication Monitoring and other clinical service offerings. Lastly, Towncrest </w:t>
            </w:r>
            <w:r w:rsidR="005F66DA">
              <w:rPr>
                <w:rFonts w:cstheme="minorHAnsi"/>
              </w:rPr>
              <w:t xml:space="preserve">Pharmacy has achieved a sustainable and profitable arrangement with a local employer which they are looking to replicate as these arrangements allow for </w:t>
            </w:r>
            <w:r w:rsidR="00111045">
              <w:rPr>
                <w:rFonts w:cstheme="minorHAnsi"/>
              </w:rPr>
              <w:t xml:space="preserve">more transparency in pricing, </w:t>
            </w:r>
            <w:r w:rsidR="00AF6EE4">
              <w:rPr>
                <w:rFonts w:cstheme="minorHAnsi"/>
              </w:rPr>
              <w:t xml:space="preserve">and </w:t>
            </w:r>
            <w:r w:rsidR="00111045">
              <w:rPr>
                <w:rFonts w:cstheme="minorHAnsi"/>
              </w:rPr>
              <w:t>a sustainable cost of dispensing</w:t>
            </w:r>
            <w:r w:rsidR="00C73E59">
              <w:rPr>
                <w:rFonts w:cstheme="minorHAnsi"/>
              </w:rPr>
              <w:t xml:space="preserve"> which allows them sufficient revenue to bundle in clinical service offerings like </w:t>
            </w:r>
            <w:r w:rsidR="00C455BA">
              <w:rPr>
                <w:rFonts w:cstheme="minorHAnsi"/>
              </w:rPr>
              <w:t>continuous medication monitoring, medication reviews, and adherence packaging</w:t>
            </w:r>
            <w:r w:rsidR="00B81964">
              <w:rPr>
                <w:rFonts w:cstheme="minorHAnsi"/>
              </w:rPr>
              <w:t>.</w:t>
            </w:r>
          </w:p>
          <w:p w14:paraId="44C9C5F1" w14:textId="77777777" w:rsidR="00935D99" w:rsidRPr="00EE22F5" w:rsidRDefault="00935D99" w:rsidP="00EE22F5">
            <w:pPr>
              <w:jc w:val="both"/>
              <w:rPr>
                <w:rFonts w:ascii="Calibri" w:hAnsi="Calibri"/>
                <w:sz w:val="22"/>
                <w:szCs w:val="22"/>
              </w:rPr>
            </w:pPr>
          </w:p>
        </w:tc>
      </w:tr>
    </w:tbl>
    <w:p w14:paraId="36326191" w14:textId="77777777" w:rsidR="001D22E2" w:rsidRDefault="001D22E2" w:rsidP="00BC1C4E"/>
    <w:sectPr w:rsidR="001D22E2" w:rsidSect="00D10FEC">
      <w:footerReference w:type="default" r:id="rId9"/>
      <w:pgSz w:w="12240" w:h="15840" w:code="1"/>
      <w:pgMar w:top="1080" w:right="720" w:bottom="360" w:left="720" w:header="720" w:footer="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EF56" w14:textId="77777777" w:rsidR="00A51D87" w:rsidRDefault="00A51D87">
      <w:r>
        <w:separator/>
      </w:r>
    </w:p>
  </w:endnote>
  <w:endnote w:type="continuationSeparator" w:id="0">
    <w:p w14:paraId="05F990D1" w14:textId="77777777" w:rsidR="00A51D87" w:rsidRDefault="00A51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Raleway"/>
    <w:charset w:val="00"/>
    <w:family w:val="auto"/>
    <w:pitch w:val="variable"/>
    <w:sig w:usb0="A00002FF" w:usb1="5000205B" w:usb2="00000000" w:usb3="00000000" w:csb0="00000197"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4E06" w14:textId="77777777" w:rsidR="00CD6AF6" w:rsidRPr="008246C5" w:rsidRDefault="00CD6AF6" w:rsidP="00D10FEC">
    <w:pPr>
      <w:pStyle w:val="Footer"/>
      <w:jc w:val="center"/>
      <w:rPr>
        <w:rFonts w:ascii="Calibri" w:hAnsi="Calibri"/>
        <w:sz w:val="22"/>
        <w:szCs w:val="22"/>
      </w:rPr>
    </w:pPr>
    <w:r w:rsidRPr="008246C5">
      <w:rPr>
        <w:rFonts w:ascii="Calibri" w:hAnsi="Calibri"/>
        <w:sz w:val="22"/>
        <w:szCs w:val="22"/>
      </w:rPr>
      <w:t>For further information and/or materials on this grant, please visit</w:t>
    </w:r>
  </w:p>
  <w:p w14:paraId="458B31F8" w14:textId="77777777" w:rsidR="00D10FEC" w:rsidRPr="00B23734" w:rsidRDefault="00227F29" w:rsidP="00D10FEC">
    <w:pPr>
      <w:pStyle w:val="Footer"/>
      <w:jc w:val="right"/>
      <w:rPr>
        <w:rFonts w:ascii="Raleway" w:hAnsi="Raleway"/>
        <w:sz w:val="18"/>
        <w:szCs w:val="18"/>
      </w:rPr>
    </w:pPr>
    <w:hyperlink r:id="rId1" w:history="1">
      <w:r w:rsidR="00055221" w:rsidRPr="00C84CC4">
        <w:rPr>
          <w:rStyle w:val="Hyperlink"/>
          <w:rFonts w:ascii="Calibri" w:hAnsi="Calibri"/>
          <w:b/>
          <w:sz w:val="22"/>
          <w:szCs w:val="22"/>
        </w:rPr>
        <w:t>www.CommunityPharmacyFoundation.org</w:t>
      </w:r>
    </w:hyperlink>
    <w:r w:rsidR="00055221">
      <w:rPr>
        <w:rFonts w:ascii="Calibri" w:hAnsi="Calibri"/>
        <w:b/>
        <w:sz w:val="22"/>
        <w:szCs w:val="22"/>
      </w:rPr>
      <w:t xml:space="preserve"> </w:t>
    </w:r>
    <w:r w:rsidR="00CD6AF6" w:rsidRPr="008246C5">
      <w:rPr>
        <w:rFonts w:ascii="Calibri" w:hAnsi="Calibri"/>
        <w:sz w:val="22"/>
        <w:szCs w:val="22"/>
      </w:rPr>
      <w:t xml:space="preserve">and submit your inquiry through </w:t>
    </w:r>
    <w:hyperlink r:id="rId2" w:history="1">
      <w:proofErr w:type="spellStart"/>
      <w:r w:rsidR="00CD6AF6" w:rsidRPr="008246C5">
        <w:rPr>
          <w:rStyle w:val="Hyperlink"/>
          <w:rFonts w:ascii="Calibri" w:hAnsi="Calibri"/>
          <w:b/>
          <w:sz w:val="22"/>
          <w:szCs w:val="22"/>
        </w:rPr>
        <w:t>Contact_Us</w:t>
      </w:r>
      <w:proofErr w:type="spellEnd"/>
    </w:hyperlink>
    <w:r w:rsidR="00CD6AF6" w:rsidRPr="008246C5">
      <w:rPr>
        <w:rFonts w:ascii="Calibri" w:hAnsi="Calibri"/>
        <w:sz w:val="22"/>
        <w:szCs w:val="22"/>
      </w:rPr>
      <w:t>.</w:t>
    </w:r>
    <w:r w:rsidR="00D10FEC">
      <w:rPr>
        <w:rFonts w:ascii="Calibri" w:hAnsi="Calibri"/>
        <w:sz w:val="22"/>
        <w:szCs w:val="22"/>
      </w:rPr>
      <w:tab/>
      <w:t xml:space="preserve">           </w:t>
    </w:r>
    <w:r w:rsidR="00D10FEC" w:rsidRPr="00D10FEC">
      <w:rPr>
        <w:rFonts w:ascii="Raleway" w:hAnsi="Raleway"/>
        <w:sz w:val="18"/>
        <w:szCs w:val="18"/>
      </w:rPr>
      <w:t xml:space="preserve"> </w:t>
    </w:r>
    <w:proofErr w:type="spellStart"/>
    <w:r w:rsidR="00935D99">
      <w:rPr>
        <w:rFonts w:ascii="Raleway" w:hAnsi="Raleway"/>
        <w:sz w:val="18"/>
        <w:szCs w:val="18"/>
      </w:rPr>
      <w:t>xxxx</w:t>
    </w:r>
    <w:r w:rsidR="00D10FEC" w:rsidRPr="00B23734">
      <w:rPr>
        <w:rFonts w:ascii="Raleway" w:hAnsi="Raleway"/>
        <w:sz w:val="18"/>
        <w:szCs w:val="18"/>
      </w:rPr>
      <w:t>|</w:t>
    </w:r>
    <w:r w:rsidR="00935D99">
      <w:rPr>
        <w:rFonts w:ascii="Raleway" w:hAnsi="Raleway"/>
        <w:sz w:val="18"/>
        <w:szCs w:val="18"/>
      </w:rPr>
      <w:t>xxx</w:t>
    </w:r>
    <w:proofErr w:type="spellEnd"/>
  </w:p>
  <w:p w14:paraId="0808BF41" w14:textId="77777777" w:rsidR="005A2C3C" w:rsidRDefault="005A2C3C" w:rsidP="00D10FEC">
    <w:pPr>
      <w:pStyle w:val="Footer"/>
      <w:rPr>
        <w:rFonts w:ascii="Bell MT" w:hAnsi="Bell MT"/>
        <w:sz w:val="18"/>
        <w:szCs w:val="18"/>
      </w:rPr>
    </w:pPr>
  </w:p>
  <w:p w14:paraId="529DD104" w14:textId="77777777" w:rsidR="005A2C3C" w:rsidRPr="005A2C3C" w:rsidRDefault="005A2C3C" w:rsidP="005A2C3C">
    <w:pPr>
      <w:pStyle w:val="Footer"/>
      <w:jc w:val="right"/>
      <w:rPr>
        <w:rFonts w:ascii="Bell MT" w:hAnsi="Bell M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70A3" w14:textId="77777777" w:rsidR="00A51D87" w:rsidRDefault="00A51D87">
      <w:r>
        <w:separator/>
      </w:r>
    </w:p>
  </w:footnote>
  <w:footnote w:type="continuationSeparator" w:id="0">
    <w:p w14:paraId="2FBB971B" w14:textId="77777777" w:rsidR="00A51D87" w:rsidRDefault="00A51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533"/>
    <w:multiLevelType w:val="hybridMultilevel"/>
    <w:tmpl w:val="05B097CA"/>
    <w:lvl w:ilvl="0" w:tplc="BFEC4F74">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EC6765"/>
    <w:multiLevelType w:val="hybridMultilevel"/>
    <w:tmpl w:val="705E2752"/>
    <w:lvl w:ilvl="0" w:tplc="BFEC4F74">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26708"/>
    <w:multiLevelType w:val="hybridMultilevel"/>
    <w:tmpl w:val="B254B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70866"/>
    <w:multiLevelType w:val="hybridMultilevel"/>
    <w:tmpl w:val="CB029EA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D6D52C5"/>
    <w:multiLevelType w:val="hybridMultilevel"/>
    <w:tmpl w:val="46B86A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D67828"/>
    <w:multiLevelType w:val="multilevel"/>
    <w:tmpl w:val="5DDAE9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323C4F"/>
    <w:multiLevelType w:val="hybridMultilevel"/>
    <w:tmpl w:val="B28AEB50"/>
    <w:lvl w:ilvl="0" w:tplc="BFEC4F74">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F406F"/>
    <w:multiLevelType w:val="hybridMultilevel"/>
    <w:tmpl w:val="27A0AABE"/>
    <w:lvl w:ilvl="0" w:tplc="BE72C9AA">
      <w:start w:val="1"/>
      <w:numFmt w:val="bullet"/>
      <w:lvlText w:val=""/>
      <w:lvlJc w:val="left"/>
      <w:pPr>
        <w:tabs>
          <w:tab w:val="num" w:pos="360"/>
        </w:tabs>
        <w:ind w:left="432"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1B138E"/>
    <w:multiLevelType w:val="multilevel"/>
    <w:tmpl w:val="29C493D0"/>
    <w:lvl w:ilvl="0">
      <w:start w:val="1"/>
      <w:numFmt w:val="bullet"/>
      <w:lvlText w:val=""/>
      <w:lvlJc w:val="left"/>
      <w:pPr>
        <w:tabs>
          <w:tab w:val="num" w:pos="720"/>
        </w:tabs>
        <w:ind w:left="720" w:hanging="648"/>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3C3092"/>
    <w:multiLevelType w:val="hybridMultilevel"/>
    <w:tmpl w:val="1AF81A9A"/>
    <w:lvl w:ilvl="0" w:tplc="BE72C9AA">
      <w:start w:val="1"/>
      <w:numFmt w:val="bullet"/>
      <w:lvlText w:val=""/>
      <w:lvlJc w:val="left"/>
      <w:pPr>
        <w:tabs>
          <w:tab w:val="num" w:pos="360"/>
        </w:tabs>
        <w:ind w:left="432" w:hanging="360"/>
      </w:pPr>
      <w:rPr>
        <w:rFonts w:ascii="Symbol" w:hAnsi="Symbol" w:hint="default"/>
        <w:sz w:val="16"/>
        <w:szCs w:val="16"/>
      </w:rPr>
    </w:lvl>
    <w:lvl w:ilvl="1" w:tplc="1958A44C">
      <w:start w:val="1"/>
      <w:numFmt w:val="bullet"/>
      <w:lvlText w:val="-"/>
      <w:lvlJc w:val="left"/>
      <w:pPr>
        <w:tabs>
          <w:tab w:val="num" w:pos="720"/>
        </w:tabs>
        <w:ind w:left="720" w:hanging="360"/>
      </w:pPr>
      <w:rPr>
        <w:rFonts w:ascii="Courier New" w:hAnsi="Courier New"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27A27"/>
    <w:multiLevelType w:val="hybridMultilevel"/>
    <w:tmpl w:val="1584C2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DC4FE1"/>
    <w:multiLevelType w:val="multilevel"/>
    <w:tmpl w:val="B254B8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0C4263"/>
    <w:multiLevelType w:val="hybridMultilevel"/>
    <w:tmpl w:val="29C493D0"/>
    <w:lvl w:ilvl="0" w:tplc="0EF2D0D0">
      <w:start w:val="1"/>
      <w:numFmt w:val="bullet"/>
      <w:lvlText w:val=""/>
      <w:lvlJc w:val="left"/>
      <w:pPr>
        <w:tabs>
          <w:tab w:val="num" w:pos="720"/>
        </w:tabs>
        <w:ind w:left="720" w:hanging="648"/>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803BB7"/>
    <w:multiLevelType w:val="multilevel"/>
    <w:tmpl w:val="21C8382A"/>
    <w:lvl w:ilvl="0">
      <w:start w:val="1"/>
      <w:numFmt w:val="bullet"/>
      <w:lvlText w:val=""/>
      <w:lvlJc w:val="left"/>
      <w:pPr>
        <w:tabs>
          <w:tab w:val="num" w:pos="360"/>
        </w:tabs>
        <w:ind w:left="432"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C76527"/>
    <w:multiLevelType w:val="hybridMultilevel"/>
    <w:tmpl w:val="CC7E83AE"/>
    <w:lvl w:ilvl="0" w:tplc="4AFE77B0">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01E17C5"/>
    <w:multiLevelType w:val="hybridMultilevel"/>
    <w:tmpl w:val="1FB6EBA2"/>
    <w:lvl w:ilvl="0" w:tplc="BE72C9AA">
      <w:start w:val="1"/>
      <w:numFmt w:val="bullet"/>
      <w:lvlText w:val=""/>
      <w:lvlJc w:val="left"/>
      <w:pPr>
        <w:tabs>
          <w:tab w:val="num" w:pos="360"/>
        </w:tabs>
        <w:ind w:left="432"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E979F9"/>
    <w:multiLevelType w:val="hybridMultilevel"/>
    <w:tmpl w:val="21C8382A"/>
    <w:lvl w:ilvl="0" w:tplc="BE72C9AA">
      <w:start w:val="1"/>
      <w:numFmt w:val="bullet"/>
      <w:lvlText w:val=""/>
      <w:lvlJc w:val="left"/>
      <w:pPr>
        <w:tabs>
          <w:tab w:val="num" w:pos="360"/>
        </w:tabs>
        <w:ind w:left="432"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9236C5"/>
    <w:multiLevelType w:val="hybridMultilevel"/>
    <w:tmpl w:val="E8D82D3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1402A5"/>
    <w:multiLevelType w:val="hybridMultilevel"/>
    <w:tmpl w:val="5ECA0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7229F"/>
    <w:multiLevelType w:val="hybridMultilevel"/>
    <w:tmpl w:val="EB5CB922"/>
    <w:lvl w:ilvl="0" w:tplc="BE72C9AA">
      <w:start w:val="1"/>
      <w:numFmt w:val="bullet"/>
      <w:lvlText w:val=""/>
      <w:lvlJc w:val="left"/>
      <w:pPr>
        <w:tabs>
          <w:tab w:val="num" w:pos="360"/>
        </w:tabs>
        <w:ind w:left="432"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344FB7"/>
    <w:multiLevelType w:val="hybridMultilevel"/>
    <w:tmpl w:val="C7AA7AC0"/>
    <w:lvl w:ilvl="0" w:tplc="BE72C9AA">
      <w:start w:val="1"/>
      <w:numFmt w:val="bullet"/>
      <w:lvlText w:val=""/>
      <w:lvlJc w:val="left"/>
      <w:pPr>
        <w:tabs>
          <w:tab w:val="num" w:pos="360"/>
        </w:tabs>
        <w:ind w:left="432" w:hanging="360"/>
      </w:pPr>
      <w:rPr>
        <w:rFonts w:ascii="Symbol" w:hAnsi="Symbol" w:hint="default"/>
        <w:sz w:val="16"/>
        <w:szCs w:val="16"/>
      </w:rPr>
    </w:lvl>
    <w:lvl w:ilvl="1" w:tplc="E5300930">
      <w:start w:val="1"/>
      <w:numFmt w:val="bullet"/>
      <w:lvlText w:val="-"/>
      <w:lvlJc w:val="left"/>
      <w:pPr>
        <w:tabs>
          <w:tab w:val="num" w:pos="576"/>
        </w:tabs>
        <w:ind w:left="576" w:hanging="216"/>
      </w:pPr>
      <w:rPr>
        <w:rFonts w:ascii="Courier New" w:hAnsi="Courier New"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016918"/>
    <w:multiLevelType w:val="hybridMultilevel"/>
    <w:tmpl w:val="5DDAE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633C2B"/>
    <w:multiLevelType w:val="multilevel"/>
    <w:tmpl w:val="1AF81A9A"/>
    <w:lvl w:ilvl="0">
      <w:start w:val="1"/>
      <w:numFmt w:val="bullet"/>
      <w:lvlText w:val=""/>
      <w:lvlJc w:val="left"/>
      <w:pPr>
        <w:tabs>
          <w:tab w:val="num" w:pos="360"/>
        </w:tabs>
        <w:ind w:left="432" w:hanging="360"/>
      </w:pPr>
      <w:rPr>
        <w:rFonts w:ascii="Symbol" w:hAnsi="Symbol" w:hint="default"/>
        <w:sz w:val="16"/>
        <w:szCs w:val="16"/>
      </w:rPr>
    </w:lvl>
    <w:lvl w:ilvl="1">
      <w:start w:val="1"/>
      <w:numFmt w:val="bullet"/>
      <w:lvlText w:val="-"/>
      <w:lvlJc w:val="left"/>
      <w:pPr>
        <w:tabs>
          <w:tab w:val="num" w:pos="720"/>
        </w:tabs>
        <w:ind w:left="720" w:hanging="360"/>
      </w:pPr>
      <w:rPr>
        <w:rFonts w:ascii="Courier New" w:hAnsi="Courier New" w:hint="default"/>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49920906">
    <w:abstractNumId w:val="2"/>
  </w:num>
  <w:num w:numId="2" w16cid:durableId="1638953036">
    <w:abstractNumId w:val="11"/>
  </w:num>
  <w:num w:numId="3" w16cid:durableId="187110434">
    <w:abstractNumId w:val="12"/>
  </w:num>
  <w:num w:numId="4" w16cid:durableId="1268152347">
    <w:abstractNumId w:val="8"/>
  </w:num>
  <w:num w:numId="5" w16cid:durableId="986478227">
    <w:abstractNumId w:val="16"/>
  </w:num>
  <w:num w:numId="6" w16cid:durableId="1283804998">
    <w:abstractNumId w:val="7"/>
  </w:num>
  <w:num w:numId="7" w16cid:durableId="1318610532">
    <w:abstractNumId w:val="19"/>
  </w:num>
  <w:num w:numId="8" w16cid:durableId="570581461">
    <w:abstractNumId w:val="15"/>
  </w:num>
  <w:num w:numId="9" w16cid:durableId="699210609">
    <w:abstractNumId w:val="10"/>
  </w:num>
  <w:num w:numId="10" w16cid:durableId="94441307">
    <w:abstractNumId w:val="17"/>
  </w:num>
  <w:num w:numId="11" w16cid:durableId="903444282">
    <w:abstractNumId w:val="3"/>
  </w:num>
  <w:num w:numId="12" w16cid:durableId="92819346">
    <w:abstractNumId w:val="13"/>
  </w:num>
  <w:num w:numId="13" w16cid:durableId="1071736941">
    <w:abstractNumId w:val="9"/>
  </w:num>
  <w:num w:numId="14" w16cid:durableId="1285842408">
    <w:abstractNumId w:val="22"/>
  </w:num>
  <w:num w:numId="15" w16cid:durableId="1480923644">
    <w:abstractNumId w:val="20"/>
  </w:num>
  <w:num w:numId="16" w16cid:durableId="1254823684">
    <w:abstractNumId w:val="21"/>
  </w:num>
  <w:num w:numId="17" w16cid:durableId="1835992802">
    <w:abstractNumId w:val="5"/>
  </w:num>
  <w:num w:numId="18" w16cid:durableId="1305040606">
    <w:abstractNumId w:val="14"/>
  </w:num>
  <w:num w:numId="19" w16cid:durableId="2113553904">
    <w:abstractNumId w:val="4"/>
  </w:num>
  <w:num w:numId="20" w16cid:durableId="2137797780">
    <w:abstractNumId w:val="0"/>
  </w:num>
  <w:num w:numId="21" w16cid:durableId="1254850544">
    <w:abstractNumId w:val="1"/>
  </w:num>
  <w:num w:numId="22" w16cid:durableId="1965499560">
    <w:abstractNumId w:val="6"/>
  </w:num>
  <w:num w:numId="23" w16cid:durableId="8848271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0tzQ2MrYwMDS3MLNU0lEKTi0uzszPAykwrQUApTyLYSwAAAA="/>
  </w:docVars>
  <w:rsids>
    <w:rsidRoot w:val="001D22E2"/>
    <w:rsid w:val="00024DFC"/>
    <w:rsid w:val="00032C31"/>
    <w:rsid w:val="00034D90"/>
    <w:rsid w:val="0003603B"/>
    <w:rsid w:val="00045520"/>
    <w:rsid w:val="000476BE"/>
    <w:rsid w:val="00055221"/>
    <w:rsid w:val="0008282D"/>
    <w:rsid w:val="000C1165"/>
    <w:rsid w:val="000C4DDA"/>
    <w:rsid w:val="000D679C"/>
    <w:rsid w:val="000E21F9"/>
    <w:rsid w:val="000E2EBE"/>
    <w:rsid w:val="00111045"/>
    <w:rsid w:val="00114AAE"/>
    <w:rsid w:val="00115F3C"/>
    <w:rsid w:val="00122DE0"/>
    <w:rsid w:val="0014561F"/>
    <w:rsid w:val="00156C59"/>
    <w:rsid w:val="00165CA8"/>
    <w:rsid w:val="0018102D"/>
    <w:rsid w:val="001820F8"/>
    <w:rsid w:val="00193C93"/>
    <w:rsid w:val="001A4F39"/>
    <w:rsid w:val="001A59B9"/>
    <w:rsid w:val="001B01E4"/>
    <w:rsid w:val="001B1F00"/>
    <w:rsid w:val="001C429A"/>
    <w:rsid w:val="001D1AD4"/>
    <w:rsid w:val="001D22E2"/>
    <w:rsid w:val="001D7541"/>
    <w:rsid w:val="001E061C"/>
    <w:rsid w:val="001E4E5D"/>
    <w:rsid w:val="001F14F0"/>
    <w:rsid w:val="001F390B"/>
    <w:rsid w:val="00203F64"/>
    <w:rsid w:val="002139C6"/>
    <w:rsid w:val="00215E53"/>
    <w:rsid w:val="00236B10"/>
    <w:rsid w:val="00236F95"/>
    <w:rsid w:val="00240FE7"/>
    <w:rsid w:val="00244A27"/>
    <w:rsid w:val="00245F23"/>
    <w:rsid w:val="00247921"/>
    <w:rsid w:val="00262F3D"/>
    <w:rsid w:val="00266F03"/>
    <w:rsid w:val="00266F1A"/>
    <w:rsid w:val="00277179"/>
    <w:rsid w:val="00284A46"/>
    <w:rsid w:val="00285D45"/>
    <w:rsid w:val="002879B1"/>
    <w:rsid w:val="00287E9C"/>
    <w:rsid w:val="002962C0"/>
    <w:rsid w:val="00296AB4"/>
    <w:rsid w:val="002A04A8"/>
    <w:rsid w:val="002A517B"/>
    <w:rsid w:val="002D59AC"/>
    <w:rsid w:val="003069D3"/>
    <w:rsid w:val="00327D91"/>
    <w:rsid w:val="0033101C"/>
    <w:rsid w:val="00333043"/>
    <w:rsid w:val="00364B50"/>
    <w:rsid w:val="00365C10"/>
    <w:rsid w:val="00375A79"/>
    <w:rsid w:val="00375E36"/>
    <w:rsid w:val="0039088D"/>
    <w:rsid w:val="003A2C20"/>
    <w:rsid w:val="003A73D4"/>
    <w:rsid w:val="003B3D1D"/>
    <w:rsid w:val="003B75E3"/>
    <w:rsid w:val="003C1EE5"/>
    <w:rsid w:val="003C1F35"/>
    <w:rsid w:val="003C4F89"/>
    <w:rsid w:val="003E0A6C"/>
    <w:rsid w:val="003E1B18"/>
    <w:rsid w:val="00400813"/>
    <w:rsid w:val="004139CF"/>
    <w:rsid w:val="004142FF"/>
    <w:rsid w:val="00454A46"/>
    <w:rsid w:val="00463968"/>
    <w:rsid w:val="00470A80"/>
    <w:rsid w:val="0047224C"/>
    <w:rsid w:val="00484D5F"/>
    <w:rsid w:val="00490328"/>
    <w:rsid w:val="00495BBA"/>
    <w:rsid w:val="00496761"/>
    <w:rsid w:val="004B03F9"/>
    <w:rsid w:val="004B6816"/>
    <w:rsid w:val="004D6ECB"/>
    <w:rsid w:val="004D717D"/>
    <w:rsid w:val="004E04EB"/>
    <w:rsid w:val="004E517E"/>
    <w:rsid w:val="004F1EB3"/>
    <w:rsid w:val="004F4DA1"/>
    <w:rsid w:val="0050448B"/>
    <w:rsid w:val="00517210"/>
    <w:rsid w:val="005175DA"/>
    <w:rsid w:val="0052182A"/>
    <w:rsid w:val="0053233A"/>
    <w:rsid w:val="00535516"/>
    <w:rsid w:val="0055047D"/>
    <w:rsid w:val="005531B9"/>
    <w:rsid w:val="00555EC9"/>
    <w:rsid w:val="005604CC"/>
    <w:rsid w:val="00572437"/>
    <w:rsid w:val="00575B57"/>
    <w:rsid w:val="005822C8"/>
    <w:rsid w:val="00582C8F"/>
    <w:rsid w:val="0058677E"/>
    <w:rsid w:val="0059030C"/>
    <w:rsid w:val="005A2C3C"/>
    <w:rsid w:val="005B251B"/>
    <w:rsid w:val="005C2002"/>
    <w:rsid w:val="005C6899"/>
    <w:rsid w:val="005E10AB"/>
    <w:rsid w:val="005E62C2"/>
    <w:rsid w:val="005E7555"/>
    <w:rsid w:val="005F0074"/>
    <w:rsid w:val="005F65E5"/>
    <w:rsid w:val="005F66DA"/>
    <w:rsid w:val="005F6C8B"/>
    <w:rsid w:val="00606509"/>
    <w:rsid w:val="00616E04"/>
    <w:rsid w:val="0062284C"/>
    <w:rsid w:val="00624B49"/>
    <w:rsid w:val="00644BB7"/>
    <w:rsid w:val="00645FB7"/>
    <w:rsid w:val="00646DEA"/>
    <w:rsid w:val="00654047"/>
    <w:rsid w:val="006651E3"/>
    <w:rsid w:val="00675E63"/>
    <w:rsid w:val="006858A6"/>
    <w:rsid w:val="006A1393"/>
    <w:rsid w:val="006B3E7F"/>
    <w:rsid w:val="006B6123"/>
    <w:rsid w:val="006E0F0E"/>
    <w:rsid w:val="006F2BE9"/>
    <w:rsid w:val="00705692"/>
    <w:rsid w:val="00721AF0"/>
    <w:rsid w:val="00726874"/>
    <w:rsid w:val="00733CB0"/>
    <w:rsid w:val="00734052"/>
    <w:rsid w:val="00754CDC"/>
    <w:rsid w:val="00771265"/>
    <w:rsid w:val="007A44FE"/>
    <w:rsid w:val="007A6BDB"/>
    <w:rsid w:val="007B5E6B"/>
    <w:rsid w:val="007B664B"/>
    <w:rsid w:val="007D3515"/>
    <w:rsid w:val="007D54D3"/>
    <w:rsid w:val="007E3F46"/>
    <w:rsid w:val="00803DC7"/>
    <w:rsid w:val="00811AB5"/>
    <w:rsid w:val="008246C5"/>
    <w:rsid w:val="00830C32"/>
    <w:rsid w:val="00842355"/>
    <w:rsid w:val="0084279C"/>
    <w:rsid w:val="00843D10"/>
    <w:rsid w:val="00857589"/>
    <w:rsid w:val="00867A4F"/>
    <w:rsid w:val="00880BAD"/>
    <w:rsid w:val="0088138F"/>
    <w:rsid w:val="00884E3E"/>
    <w:rsid w:val="00897820"/>
    <w:rsid w:val="008D10E5"/>
    <w:rsid w:val="008D60E1"/>
    <w:rsid w:val="008E44CF"/>
    <w:rsid w:val="008E5B60"/>
    <w:rsid w:val="008E6A84"/>
    <w:rsid w:val="008F5A6F"/>
    <w:rsid w:val="009042A3"/>
    <w:rsid w:val="00914D76"/>
    <w:rsid w:val="00921061"/>
    <w:rsid w:val="00930DCD"/>
    <w:rsid w:val="00935D99"/>
    <w:rsid w:val="00950876"/>
    <w:rsid w:val="0095415E"/>
    <w:rsid w:val="00970B03"/>
    <w:rsid w:val="00973B4D"/>
    <w:rsid w:val="009B2830"/>
    <w:rsid w:val="009F7165"/>
    <w:rsid w:val="00A066AB"/>
    <w:rsid w:val="00A132E3"/>
    <w:rsid w:val="00A14F5D"/>
    <w:rsid w:val="00A33047"/>
    <w:rsid w:val="00A51D87"/>
    <w:rsid w:val="00A55D52"/>
    <w:rsid w:val="00A7178F"/>
    <w:rsid w:val="00A73434"/>
    <w:rsid w:val="00A7506F"/>
    <w:rsid w:val="00A93792"/>
    <w:rsid w:val="00A9711C"/>
    <w:rsid w:val="00AB11FC"/>
    <w:rsid w:val="00AB3F72"/>
    <w:rsid w:val="00AC4A70"/>
    <w:rsid w:val="00AC76B7"/>
    <w:rsid w:val="00AE64E8"/>
    <w:rsid w:val="00AF02EA"/>
    <w:rsid w:val="00AF6EE4"/>
    <w:rsid w:val="00B11145"/>
    <w:rsid w:val="00B23734"/>
    <w:rsid w:val="00B26E3B"/>
    <w:rsid w:val="00B50A25"/>
    <w:rsid w:val="00B62E2B"/>
    <w:rsid w:val="00B70D92"/>
    <w:rsid w:val="00B81964"/>
    <w:rsid w:val="00B8196B"/>
    <w:rsid w:val="00B85829"/>
    <w:rsid w:val="00B929C6"/>
    <w:rsid w:val="00BC1C4E"/>
    <w:rsid w:val="00BD069F"/>
    <w:rsid w:val="00BD29EE"/>
    <w:rsid w:val="00BE2AA5"/>
    <w:rsid w:val="00BF73BD"/>
    <w:rsid w:val="00C00B9E"/>
    <w:rsid w:val="00C02C06"/>
    <w:rsid w:val="00C07127"/>
    <w:rsid w:val="00C078A0"/>
    <w:rsid w:val="00C177FF"/>
    <w:rsid w:val="00C20637"/>
    <w:rsid w:val="00C25F56"/>
    <w:rsid w:val="00C40939"/>
    <w:rsid w:val="00C412DA"/>
    <w:rsid w:val="00C4188C"/>
    <w:rsid w:val="00C455BA"/>
    <w:rsid w:val="00C522B9"/>
    <w:rsid w:val="00C55958"/>
    <w:rsid w:val="00C73E59"/>
    <w:rsid w:val="00C75876"/>
    <w:rsid w:val="00C84131"/>
    <w:rsid w:val="00C91579"/>
    <w:rsid w:val="00CA770F"/>
    <w:rsid w:val="00CD4A53"/>
    <w:rsid w:val="00CD6AF6"/>
    <w:rsid w:val="00CE40D0"/>
    <w:rsid w:val="00CF4396"/>
    <w:rsid w:val="00D00079"/>
    <w:rsid w:val="00D0683C"/>
    <w:rsid w:val="00D10D4B"/>
    <w:rsid w:val="00D10FEC"/>
    <w:rsid w:val="00D36BE8"/>
    <w:rsid w:val="00D46EF7"/>
    <w:rsid w:val="00D5146F"/>
    <w:rsid w:val="00D52E88"/>
    <w:rsid w:val="00D57FC3"/>
    <w:rsid w:val="00D830FE"/>
    <w:rsid w:val="00D86232"/>
    <w:rsid w:val="00DC4E0B"/>
    <w:rsid w:val="00DE3165"/>
    <w:rsid w:val="00DF2FE9"/>
    <w:rsid w:val="00DF793B"/>
    <w:rsid w:val="00E078AB"/>
    <w:rsid w:val="00E15006"/>
    <w:rsid w:val="00E27063"/>
    <w:rsid w:val="00E57AAE"/>
    <w:rsid w:val="00E769A8"/>
    <w:rsid w:val="00E81FDE"/>
    <w:rsid w:val="00E95D51"/>
    <w:rsid w:val="00EA100C"/>
    <w:rsid w:val="00EA6ADB"/>
    <w:rsid w:val="00EB45EA"/>
    <w:rsid w:val="00EB4E76"/>
    <w:rsid w:val="00EC1E17"/>
    <w:rsid w:val="00EC21C3"/>
    <w:rsid w:val="00EC3642"/>
    <w:rsid w:val="00EC7902"/>
    <w:rsid w:val="00EE08AD"/>
    <w:rsid w:val="00EE0C01"/>
    <w:rsid w:val="00EE22F5"/>
    <w:rsid w:val="00EE2D08"/>
    <w:rsid w:val="00EF3D61"/>
    <w:rsid w:val="00F03EC0"/>
    <w:rsid w:val="00F06E6E"/>
    <w:rsid w:val="00F77D69"/>
    <w:rsid w:val="00F848E1"/>
    <w:rsid w:val="00F84D28"/>
    <w:rsid w:val="00FB465D"/>
    <w:rsid w:val="00FB6A38"/>
    <w:rsid w:val="00FC5D92"/>
    <w:rsid w:val="00FC7BAC"/>
    <w:rsid w:val="00FD047C"/>
    <w:rsid w:val="00FD2653"/>
    <w:rsid w:val="00FE3626"/>
    <w:rsid w:val="00FF2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21385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2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6AF6"/>
    <w:pPr>
      <w:tabs>
        <w:tab w:val="center" w:pos="4320"/>
        <w:tab w:val="right" w:pos="8640"/>
      </w:tabs>
    </w:pPr>
  </w:style>
  <w:style w:type="paragraph" w:styleId="Footer">
    <w:name w:val="footer"/>
    <w:basedOn w:val="Normal"/>
    <w:rsid w:val="00CD6AF6"/>
    <w:pPr>
      <w:tabs>
        <w:tab w:val="center" w:pos="4320"/>
        <w:tab w:val="right" w:pos="8640"/>
      </w:tabs>
    </w:pPr>
  </w:style>
  <w:style w:type="character" w:styleId="Hyperlink">
    <w:name w:val="Hyperlink"/>
    <w:rsid w:val="00CD6AF6"/>
    <w:rPr>
      <w:color w:val="0000FF"/>
      <w:u w:val="single"/>
    </w:rPr>
  </w:style>
  <w:style w:type="paragraph" w:styleId="ListParagraph">
    <w:name w:val="List Paragraph"/>
    <w:basedOn w:val="Normal"/>
    <w:uiPriority w:val="34"/>
    <w:qFormat/>
    <w:rsid w:val="00A7506F"/>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DF2FE9"/>
    <w:rPr>
      <w:sz w:val="16"/>
      <w:szCs w:val="16"/>
    </w:rPr>
  </w:style>
  <w:style w:type="paragraph" w:styleId="CommentText">
    <w:name w:val="annotation text"/>
    <w:basedOn w:val="Normal"/>
    <w:link w:val="CommentTextChar"/>
    <w:rsid w:val="00DF2FE9"/>
    <w:rPr>
      <w:sz w:val="20"/>
      <w:szCs w:val="20"/>
    </w:rPr>
  </w:style>
  <w:style w:type="character" w:customStyle="1" w:styleId="CommentTextChar">
    <w:name w:val="Comment Text Char"/>
    <w:basedOn w:val="DefaultParagraphFont"/>
    <w:link w:val="CommentText"/>
    <w:rsid w:val="00DF2FE9"/>
  </w:style>
  <w:style w:type="paragraph" w:styleId="CommentSubject">
    <w:name w:val="annotation subject"/>
    <w:basedOn w:val="CommentText"/>
    <w:next w:val="CommentText"/>
    <w:link w:val="CommentSubjectChar"/>
    <w:rsid w:val="00DF2FE9"/>
    <w:rPr>
      <w:b/>
      <w:bCs/>
    </w:rPr>
  </w:style>
  <w:style w:type="character" w:customStyle="1" w:styleId="CommentSubjectChar">
    <w:name w:val="Comment Subject Char"/>
    <w:basedOn w:val="CommentTextChar"/>
    <w:link w:val="CommentSubject"/>
    <w:rsid w:val="00DF2FE9"/>
    <w:rPr>
      <w:b/>
      <w:bCs/>
    </w:rPr>
  </w:style>
  <w:style w:type="paragraph" w:styleId="BalloonText">
    <w:name w:val="Balloon Text"/>
    <w:basedOn w:val="Normal"/>
    <w:link w:val="BalloonTextChar"/>
    <w:rsid w:val="00DF2FE9"/>
    <w:rPr>
      <w:rFonts w:ascii="Segoe UI" w:hAnsi="Segoe UI" w:cs="Segoe UI"/>
      <w:sz w:val="18"/>
      <w:szCs w:val="18"/>
    </w:rPr>
  </w:style>
  <w:style w:type="character" w:customStyle="1" w:styleId="BalloonTextChar">
    <w:name w:val="Balloon Text Char"/>
    <w:basedOn w:val="DefaultParagraphFont"/>
    <w:link w:val="BalloonText"/>
    <w:rsid w:val="00DF2FE9"/>
    <w:rPr>
      <w:rFonts w:ascii="Segoe UI" w:hAnsi="Segoe UI" w:cs="Segoe UI"/>
      <w:sz w:val="18"/>
      <w:szCs w:val="18"/>
    </w:rPr>
  </w:style>
  <w:style w:type="paragraph" w:styleId="Revision">
    <w:name w:val="Revision"/>
    <w:hidden/>
    <w:uiPriority w:val="99"/>
    <w:semiHidden/>
    <w:rsid w:val="002962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ommunitypharmacyfoundation.org/about/contact.asp" TargetMode="External"/><Relationship Id="rId1" Type="http://schemas.openxmlformats.org/officeDocument/2006/relationships/hyperlink" Target="http://www.CommunityPharmacy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1076</Words>
  <Characters>6532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7593</CharactersWithSpaces>
  <SharedDoc>false</SharedDoc>
  <HLinks>
    <vt:vector size="24" baseType="variant">
      <vt:variant>
        <vt:i4>6160396</vt:i4>
      </vt:variant>
      <vt:variant>
        <vt:i4>3</vt:i4>
      </vt:variant>
      <vt:variant>
        <vt:i4>0</vt:i4>
      </vt:variant>
      <vt:variant>
        <vt:i4>5</vt:i4>
      </vt:variant>
      <vt:variant>
        <vt:lpwstr>http://communitypharmacyfoundation.org/about/contact.asp</vt:lpwstr>
      </vt:variant>
      <vt:variant>
        <vt:lpwstr/>
      </vt:variant>
      <vt:variant>
        <vt:i4>2949223</vt:i4>
      </vt:variant>
      <vt:variant>
        <vt:i4>0</vt:i4>
      </vt:variant>
      <vt:variant>
        <vt:i4>0</vt:i4>
      </vt:variant>
      <vt:variant>
        <vt:i4>5</vt:i4>
      </vt:variant>
      <vt:variant>
        <vt:lpwstr>http://www.CommunityPharmacyFoundation.org</vt:lpwstr>
      </vt:variant>
      <vt:variant>
        <vt:lpwstr/>
      </vt:variant>
      <vt:variant>
        <vt:i4>1114124</vt:i4>
      </vt:variant>
      <vt:variant>
        <vt:i4>-1</vt:i4>
      </vt:variant>
      <vt:variant>
        <vt:i4>1027</vt:i4>
      </vt:variant>
      <vt:variant>
        <vt:i4>1</vt:i4>
      </vt:variant>
      <vt:variant>
        <vt:lpwstr>Text</vt:lpwstr>
      </vt:variant>
      <vt:variant>
        <vt:lpwstr/>
      </vt:variant>
      <vt:variant>
        <vt:i4>3014749</vt:i4>
      </vt:variant>
      <vt:variant>
        <vt:i4>-1</vt:i4>
      </vt:variant>
      <vt:variant>
        <vt:i4>1031</vt:i4>
      </vt:variant>
      <vt:variant>
        <vt:i4>1</vt:i4>
      </vt:variant>
      <vt:variant>
        <vt:lpwstr>grant_synopsis-large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 Sesti</dc:creator>
  <cp:keywords/>
  <dc:description/>
  <cp:lastModifiedBy>Witry, Matthew J</cp:lastModifiedBy>
  <cp:revision>2</cp:revision>
  <cp:lastPrinted>2015-09-29T17:27:00Z</cp:lastPrinted>
  <dcterms:created xsi:type="dcterms:W3CDTF">2022-10-26T14:03:00Z</dcterms:created>
  <dcterms:modified xsi:type="dcterms:W3CDTF">2022-10-26T14:03:00Z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c537f1383483c327cebd56d3a029bb791e6d354a5a3c58709292221772fcec77</vt:lpwstr>
  </property>
</Properties>
</file>